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F35E35" w14:textId="669AF3AE" w:rsidR="00AE7280" w:rsidRPr="00E52CF2" w:rsidRDefault="00391F09" w:rsidP="00E52CF2">
      <w:pPr>
        <w:pStyle w:val="Standard"/>
        <w:autoSpaceDE w:val="0"/>
        <w:jc w:val="center"/>
        <w:rPr>
          <w:rFonts w:asciiTheme="minorHAnsi" w:hAnsiTheme="minorHAnsi" w:cstheme="minorHAnsi"/>
          <w:b/>
          <w:bCs/>
          <w:color w:val="000000" w:themeColor="text1"/>
          <w:sz w:val="96"/>
          <w:szCs w:val="96"/>
        </w:rPr>
      </w:pPr>
      <w:bookmarkStart w:id="0" w:name="_GoBack"/>
      <w:bookmarkEnd w:id="0"/>
      <w:r>
        <w:rPr>
          <w:rFonts w:asciiTheme="minorHAnsi" w:hAnsiTheme="minorHAnsi" w:cstheme="minorHAnsi"/>
          <w:b/>
          <w:bCs/>
          <w:noProof/>
          <w:color w:val="000000" w:themeColor="text1"/>
          <w:sz w:val="96"/>
          <w:szCs w:val="96"/>
          <w:lang w:eastAsia="fr-FR" w:bidi="ar-SA"/>
        </w:rPr>
        <w:drawing>
          <wp:anchor distT="0" distB="0" distL="114300" distR="114300" simplePos="0" relativeHeight="251658240" behindDoc="0" locked="0" layoutInCell="1" allowOverlap="1" wp14:anchorId="618349C7" wp14:editId="149BB5B8">
            <wp:simplePos x="0" y="0"/>
            <wp:positionH relativeFrom="column">
              <wp:posOffset>209550</wp:posOffset>
            </wp:positionH>
            <wp:positionV relativeFrom="paragraph">
              <wp:posOffset>3810</wp:posOffset>
            </wp:positionV>
            <wp:extent cx="1819275" cy="1148288"/>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819275" cy="1148288"/>
                    </a:xfrm>
                    <a:prstGeom prst="rect">
                      <a:avLst/>
                    </a:prstGeom>
                  </pic:spPr>
                </pic:pic>
              </a:graphicData>
            </a:graphic>
            <wp14:sizeRelH relativeFrom="margin">
              <wp14:pctWidth>0</wp14:pctWidth>
            </wp14:sizeRelH>
            <wp14:sizeRelV relativeFrom="margin">
              <wp14:pctHeight>0</wp14:pctHeight>
            </wp14:sizeRelV>
          </wp:anchor>
        </w:drawing>
      </w:r>
      <w:r w:rsidR="00E52CF2" w:rsidRPr="00E52CF2">
        <w:rPr>
          <w:rFonts w:asciiTheme="minorHAnsi" w:hAnsiTheme="minorHAnsi" w:cstheme="minorHAnsi"/>
          <w:b/>
          <w:bCs/>
          <w:color w:val="000000" w:themeColor="text1"/>
          <w:sz w:val="96"/>
          <w:szCs w:val="96"/>
        </w:rPr>
        <w:t xml:space="preserve">Thème </w:t>
      </w:r>
      <w:r>
        <w:rPr>
          <w:rFonts w:asciiTheme="minorHAnsi" w:hAnsiTheme="minorHAnsi" w:cstheme="minorHAnsi"/>
          <w:b/>
          <w:bCs/>
          <w:color w:val="000000" w:themeColor="text1"/>
          <w:sz w:val="96"/>
          <w:szCs w:val="96"/>
        </w:rPr>
        <w:t>« Education »</w:t>
      </w:r>
    </w:p>
    <w:p w14:paraId="1F757E53" w14:textId="38811EBF" w:rsidR="00E52CF2" w:rsidRDefault="00FB04B0" w:rsidP="00391F09">
      <w:pPr>
        <w:pStyle w:val="Standard"/>
        <w:autoSpaceDE w:val="0"/>
        <w:jc w:val="center"/>
        <w:rPr>
          <w:rFonts w:asciiTheme="minorHAnsi" w:hAnsiTheme="minorHAnsi" w:cstheme="minorHAnsi"/>
        </w:rPr>
      </w:pPr>
      <w:hyperlink r:id="rId9" w:history="1">
        <w:r w:rsidR="00391F09" w:rsidRPr="001813D8">
          <w:rPr>
            <w:rStyle w:val="Lienhypertexte"/>
            <w:rFonts w:asciiTheme="minorHAnsi" w:hAnsiTheme="minorHAnsi" w:cstheme="minorHAnsi"/>
          </w:rPr>
          <w:t>theme_education@snes.edu</w:t>
        </w:r>
      </w:hyperlink>
    </w:p>
    <w:p w14:paraId="4C8565E5" w14:textId="4515EFC2" w:rsidR="00391F09" w:rsidRDefault="00391F09" w:rsidP="00391F09">
      <w:pPr>
        <w:pStyle w:val="Standard"/>
        <w:autoSpaceDE w:val="0"/>
        <w:jc w:val="center"/>
        <w:rPr>
          <w:rFonts w:asciiTheme="minorHAnsi" w:hAnsiTheme="minorHAnsi" w:cstheme="minorHAnsi"/>
        </w:rPr>
      </w:pPr>
    </w:p>
    <w:p w14:paraId="759BCF59" w14:textId="77777777" w:rsidR="00391F09" w:rsidRDefault="00391F09" w:rsidP="00391F09">
      <w:pPr>
        <w:pStyle w:val="Standard"/>
        <w:autoSpaceDE w:val="0"/>
        <w:jc w:val="center"/>
        <w:rPr>
          <w:rFonts w:asciiTheme="minorHAnsi" w:hAnsiTheme="minorHAnsi" w:cstheme="minorHAnsi"/>
        </w:rPr>
      </w:pPr>
    </w:p>
    <w:p w14:paraId="3C8C8BC3" w14:textId="77777777" w:rsidR="001A6C37" w:rsidRDefault="00E52CF2" w:rsidP="00E52CF2">
      <w:pPr>
        <w:pStyle w:val="Standard"/>
        <w:pBdr>
          <w:top w:val="single" w:sz="4" w:space="1" w:color="auto"/>
          <w:left w:val="single" w:sz="4" w:space="4" w:color="auto"/>
          <w:bottom w:val="single" w:sz="4" w:space="1" w:color="auto"/>
          <w:right w:val="single" w:sz="4" w:space="4" w:color="auto"/>
        </w:pBdr>
        <w:tabs>
          <w:tab w:val="left" w:pos="851"/>
        </w:tabs>
        <w:autoSpaceDE w:val="0"/>
        <w:ind w:left="851" w:right="567" w:hanging="426"/>
        <w:jc w:val="center"/>
        <w:rPr>
          <w:rFonts w:asciiTheme="minorHAnsi" w:hAnsiTheme="minorHAnsi" w:cstheme="minorHAnsi"/>
          <w:b/>
          <w:bCs/>
          <w:color w:val="FF0000"/>
          <w:sz w:val="52"/>
          <w:szCs w:val="52"/>
        </w:rPr>
      </w:pPr>
      <w:r w:rsidRPr="00E52CF2">
        <w:rPr>
          <w:rFonts w:asciiTheme="minorHAnsi" w:hAnsiTheme="minorHAnsi" w:cstheme="minorHAnsi"/>
          <w:b/>
          <w:bCs/>
          <w:color w:val="FF0000"/>
          <w:sz w:val="52"/>
          <w:szCs w:val="52"/>
        </w:rPr>
        <w:t xml:space="preserve">Consignes à respecter pour les remontées </w:t>
      </w:r>
    </w:p>
    <w:p w14:paraId="26E03C0F" w14:textId="12936B6A" w:rsidR="00E52CF2" w:rsidRPr="00E52CF2" w:rsidRDefault="00E52CF2" w:rsidP="00E52CF2">
      <w:pPr>
        <w:pStyle w:val="Standard"/>
        <w:pBdr>
          <w:top w:val="single" w:sz="4" w:space="1" w:color="auto"/>
          <w:left w:val="single" w:sz="4" w:space="4" w:color="auto"/>
          <w:bottom w:val="single" w:sz="4" w:space="1" w:color="auto"/>
          <w:right w:val="single" w:sz="4" w:space="4" w:color="auto"/>
        </w:pBdr>
        <w:tabs>
          <w:tab w:val="left" w:pos="851"/>
        </w:tabs>
        <w:autoSpaceDE w:val="0"/>
        <w:ind w:left="851" w:right="567" w:hanging="426"/>
        <w:jc w:val="center"/>
        <w:rPr>
          <w:rFonts w:asciiTheme="minorHAnsi" w:hAnsiTheme="minorHAnsi" w:cstheme="minorHAnsi"/>
          <w:b/>
          <w:bCs/>
          <w:color w:val="FF0000"/>
          <w:sz w:val="52"/>
          <w:szCs w:val="52"/>
        </w:rPr>
      </w:pPr>
      <w:proofErr w:type="gramStart"/>
      <w:r w:rsidRPr="00E52CF2">
        <w:rPr>
          <w:rFonts w:asciiTheme="minorHAnsi" w:hAnsiTheme="minorHAnsi" w:cstheme="minorHAnsi"/>
          <w:b/>
          <w:bCs/>
          <w:color w:val="FF0000"/>
          <w:sz w:val="52"/>
          <w:szCs w:val="52"/>
        </w:rPr>
        <w:t>des</w:t>
      </w:r>
      <w:proofErr w:type="gramEnd"/>
      <w:r w:rsidRPr="00E52CF2">
        <w:rPr>
          <w:rFonts w:asciiTheme="minorHAnsi" w:hAnsiTheme="minorHAnsi" w:cstheme="minorHAnsi"/>
          <w:b/>
          <w:bCs/>
          <w:color w:val="FF0000"/>
          <w:sz w:val="52"/>
          <w:szCs w:val="52"/>
        </w:rPr>
        <w:t xml:space="preserve"> congrès académiques</w:t>
      </w:r>
    </w:p>
    <w:p w14:paraId="61046854" w14:textId="77777777" w:rsidR="00E52CF2" w:rsidRPr="00E52CF2" w:rsidRDefault="00E52CF2" w:rsidP="00E52CF2">
      <w:pPr>
        <w:pStyle w:val="Standard"/>
        <w:pBdr>
          <w:top w:val="single" w:sz="4" w:space="1" w:color="auto"/>
          <w:left w:val="single" w:sz="4" w:space="4" w:color="auto"/>
          <w:bottom w:val="single" w:sz="4" w:space="1" w:color="auto"/>
          <w:right w:val="single" w:sz="4" w:space="4" w:color="auto"/>
        </w:pBdr>
        <w:tabs>
          <w:tab w:val="left" w:pos="851"/>
        </w:tabs>
        <w:autoSpaceDE w:val="0"/>
        <w:ind w:left="851" w:right="567" w:hanging="426"/>
        <w:jc w:val="center"/>
        <w:rPr>
          <w:rFonts w:asciiTheme="minorHAnsi" w:hAnsiTheme="minorHAnsi" w:cstheme="minorHAnsi"/>
          <w:b/>
          <w:bCs/>
          <w:color w:val="000000" w:themeColor="text1"/>
          <w:sz w:val="48"/>
          <w:szCs w:val="48"/>
        </w:rPr>
      </w:pPr>
    </w:p>
    <w:p w14:paraId="7C0AFF2C" w14:textId="651D25A4" w:rsidR="00E52CF2" w:rsidRPr="001A6C37"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b/>
          <w:bCs/>
          <w:sz w:val="24"/>
          <w:szCs w:val="24"/>
          <w:lang w:eastAsia="fr-FR"/>
        </w:rPr>
      </w:pPr>
      <w:r w:rsidRPr="001A6C37">
        <w:rPr>
          <w:rFonts w:eastAsia="Times New Roman" w:cstheme="minorHAnsi"/>
          <w:b/>
          <w:bCs/>
          <w:sz w:val="24"/>
          <w:szCs w:val="24"/>
          <w:lang w:eastAsia="fr-FR"/>
        </w:rPr>
        <w:t>Aucune modification dans les deux premières colonnes (les numéros et le texte initial)</w:t>
      </w:r>
    </w:p>
    <w:p w14:paraId="05400358" w14:textId="0A7DD061" w:rsidR="00E52CF2" w:rsidRPr="00E52CF2"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b/>
          <w:bCs/>
          <w:sz w:val="24"/>
          <w:szCs w:val="24"/>
          <w:lang w:eastAsia="fr-FR"/>
        </w:rPr>
      </w:pPr>
      <w:r>
        <w:rPr>
          <w:rFonts w:eastAsia="Times New Roman" w:cstheme="minorHAnsi"/>
          <w:sz w:val="24"/>
          <w:szCs w:val="24"/>
          <w:lang w:eastAsia="fr-FR"/>
        </w:rPr>
        <w:t>T</w:t>
      </w:r>
      <w:r w:rsidRPr="000312C6">
        <w:rPr>
          <w:rFonts w:eastAsia="Times New Roman" w:cstheme="minorHAnsi"/>
          <w:sz w:val="24"/>
          <w:szCs w:val="24"/>
          <w:lang w:eastAsia="fr-FR"/>
        </w:rPr>
        <w:t xml:space="preserve">ous les amendements académiques doivent apparaître dans la dernière colonne. </w:t>
      </w:r>
      <w:r w:rsidRPr="00E52CF2">
        <w:rPr>
          <w:rFonts w:eastAsia="Times New Roman" w:cstheme="minorHAnsi"/>
          <w:b/>
          <w:bCs/>
          <w:sz w:val="24"/>
          <w:szCs w:val="24"/>
          <w:lang w:eastAsia="fr-FR"/>
        </w:rPr>
        <w:t xml:space="preserve">S’il n’y a aucune modification sur le paragraphe, la case doit rester vide ! </w:t>
      </w:r>
    </w:p>
    <w:p w14:paraId="03CCEBEA" w14:textId="1E77C189" w:rsidR="00E52CF2" w:rsidRPr="00E52CF2"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b/>
          <w:bCs/>
          <w:sz w:val="24"/>
          <w:szCs w:val="24"/>
          <w:lang w:eastAsia="fr-FR"/>
        </w:rPr>
      </w:pPr>
      <w:r w:rsidRPr="00E52CF2">
        <w:rPr>
          <w:rFonts w:eastAsia="Times New Roman" w:cstheme="minorHAnsi"/>
          <w:b/>
          <w:bCs/>
          <w:sz w:val="24"/>
          <w:szCs w:val="24"/>
          <w:lang w:eastAsia="fr-FR"/>
        </w:rPr>
        <w:t xml:space="preserve">Les ajouts par rapport au texte initial seront identifiés par du gras/italique </w:t>
      </w:r>
    </w:p>
    <w:p w14:paraId="6783122C" w14:textId="7D3DEF53" w:rsidR="00E52CF2" w:rsidRPr="00E52CF2"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b/>
          <w:bCs/>
          <w:sz w:val="24"/>
          <w:szCs w:val="24"/>
          <w:lang w:eastAsia="fr-FR"/>
        </w:rPr>
      </w:pPr>
      <w:r w:rsidRPr="00E52CF2">
        <w:rPr>
          <w:rFonts w:eastAsia="Times New Roman" w:cstheme="minorHAnsi"/>
          <w:b/>
          <w:bCs/>
          <w:sz w:val="24"/>
          <w:szCs w:val="24"/>
          <w:lang w:eastAsia="fr-FR"/>
        </w:rPr>
        <w:t xml:space="preserve">Les suppressions par rapport au texte initial seront identifiées par un barré simple sans gras, sans italique </w:t>
      </w:r>
    </w:p>
    <w:p w14:paraId="5CCDC6AC" w14:textId="3090BD3D" w:rsidR="00E52CF2" w:rsidRPr="000312C6"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sz w:val="24"/>
          <w:szCs w:val="24"/>
          <w:lang w:eastAsia="fr-FR"/>
        </w:rPr>
      </w:pPr>
      <w:r>
        <w:rPr>
          <w:rFonts w:eastAsia="Times New Roman" w:cstheme="minorHAnsi"/>
          <w:sz w:val="24"/>
          <w:szCs w:val="24"/>
          <w:lang w:eastAsia="fr-FR"/>
        </w:rPr>
        <w:t>A</w:t>
      </w:r>
      <w:r w:rsidRPr="000312C6">
        <w:rPr>
          <w:rFonts w:eastAsia="Times New Roman" w:cstheme="minorHAnsi"/>
          <w:sz w:val="24"/>
          <w:szCs w:val="24"/>
          <w:lang w:eastAsia="fr-FR"/>
        </w:rPr>
        <w:t>ucune couleur</w:t>
      </w:r>
      <w:r>
        <w:rPr>
          <w:rFonts w:eastAsia="Times New Roman" w:cstheme="minorHAnsi"/>
          <w:sz w:val="24"/>
          <w:szCs w:val="24"/>
          <w:lang w:eastAsia="fr-FR"/>
        </w:rPr>
        <w:t xml:space="preserve"> ne sera prise en compte dans les remontées académique</w:t>
      </w:r>
    </w:p>
    <w:p w14:paraId="5D4B9DAF" w14:textId="1C626156" w:rsidR="00E52CF2" w:rsidRPr="000312C6" w:rsidRDefault="00E52CF2" w:rsidP="00E52CF2">
      <w:pPr>
        <w:pStyle w:val="Paragraphedeliste"/>
        <w:numPr>
          <w:ilvl w:val="0"/>
          <w:numId w:val="1"/>
        </w:numPr>
        <w:pBdr>
          <w:top w:val="single" w:sz="4" w:space="1" w:color="auto"/>
          <w:left w:val="single" w:sz="4" w:space="4" w:color="auto"/>
          <w:bottom w:val="single" w:sz="4" w:space="1" w:color="auto"/>
          <w:right w:val="single" w:sz="4" w:space="4" w:color="auto"/>
        </w:pBd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right="567" w:hanging="426"/>
        <w:jc w:val="both"/>
        <w:rPr>
          <w:rFonts w:eastAsia="Times New Roman" w:cstheme="minorHAnsi"/>
          <w:sz w:val="24"/>
          <w:szCs w:val="24"/>
          <w:lang w:eastAsia="fr-FR"/>
        </w:rPr>
      </w:pPr>
      <w:r>
        <w:rPr>
          <w:rFonts w:eastAsia="Times New Roman" w:cstheme="minorHAnsi"/>
          <w:sz w:val="24"/>
          <w:szCs w:val="24"/>
          <w:lang w:eastAsia="fr-FR"/>
        </w:rPr>
        <w:t>A</w:t>
      </w:r>
      <w:r w:rsidRPr="000312C6">
        <w:rPr>
          <w:rFonts w:eastAsia="Times New Roman" w:cstheme="minorHAnsi"/>
          <w:sz w:val="24"/>
          <w:szCs w:val="24"/>
          <w:lang w:eastAsia="fr-FR"/>
        </w:rPr>
        <w:t>ucun commentaire, suivi de modifications, note de bas de page, etc</w:t>
      </w:r>
      <w:r w:rsidR="00653359">
        <w:rPr>
          <w:rFonts w:eastAsia="Times New Roman" w:cstheme="minorHAnsi"/>
          <w:sz w:val="24"/>
          <w:szCs w:val="24"/>
          <w:lang w:eastAsia="fr-FR"/>
        </w:rPr>
        <w:t>.</w:t>
      </w:r>
      <w:r>
        <w:rPr>
          <w:rFonts w:eastAsia="Times New Roman" w:cstheme="minorHAnsi"/>
          <w:sz w:val="24"/>
          <w:szCs w:val="24"/>
          <w:lang w:eastAsia="fr-FR"/>
        </w:rPr>
        <w:t xml:space="preserve"> de devra être ajouté au document</w:t>
      </w:r>
    </w:p>
    <w:p w14:paraId="79A87D54" w14:textId="4FDCF993" w:rsidR="001A241D" w:rsidRDefault="001A241D" w:rsidP="00853F62">
      <w:pPr>
        <w:pStyle w:val="Standard"/>
        <w:autoSpaceDE w:val="0"/>
        <w:rPr>
          <w:rFonts w:asciiTheme="minorHAnsi" w:hAnsiTheme="minorHAnsi" w:cstheme="minorHAnsi"/>
        </w:rPr>
      </w:pPr>
    </w:p>
    <w:p w14:paraId="2795BDF0" w14:textId="77777777" w:rsidR="001A241D" w:rsidRDefault="001A241D" w:rsidP="00853F62">
      <w:pPr>
        <w:pStyle w:val="Standard"/>
        <w:autoSpaceDE w:val="0"/>
        <w:rPr>
          <w:rFonts w:asciiTheme="minorHAnsi" w:hAnsiTheme="minorHAnsi" w:cstheme="minorHAnsi"/>
        </w:rPr>
      </w:pPr>
    </w:p>
    <w:tbl>
      <w:tblPr>
        <w:tblStyle w:val="Grilledutableau"/>
        <w:tblW w:w="15443" w:type="dxa"/>
        <w:tblLook w:val="04A0" w:firstRow="1" w:lastRow="0" w:firstColumn="1" w:lastColumn="0" w:noHBand="0" w:noVBand="1"/>
      </w:tblPr>
      <w:tblGrid>
        <w:gridCol w:w="686"/>
        <w:gridCol w:w="7954"/>
        <w:gridCol w:w="6803"/>
      </w:tblGrid>
      <w:tr w:rsidR="00400116" w:rsidRPr="00915639" w14:paraId="69225F1F" w14:textId="5DF9A5CC" w:rsidTr="00400116">
        <w:tc>
          <w:tcPr>
            <w:tcW w:w="686" w:type="dxa"/>
          </w:tcPr>
          <w:p w14:paraId="4C645ADA" w14:textId="73CB26A6" w:rsidR="00400116" w:rsidRPr="00400116" w:rsidRDefault="00400116" w:rsidP="00400116">
            <w:pPr>
              <w:pStyle w:val="Standard"/>
              <w:autoSpaceDE w:val="0"/>
              <w:rPr>
                <w:rFonts w:asciiTheme="minorHAnsi" w:hAnsiTheme="minorHAnsi" w:cstheme="minorHAnsi"/>
                <w:sz w:val="22"/>
                <w:szCs w:val="22"/>
              </w:rPr>
            </w:pPr>
            <w:r w:rsidRPr="00400116">
              <w:rPr>
                <w:rFonts w:asciiTheme="minorHAnsi" w:hAnsiTheme="minorHAnsi" w:cstheme="minorHAnsi"/>
                <w:sz w:val="22"/>
                <w:szCs w:val="22"/>
              </w:rPr>
              <w:t>001</w:t>
            </w:r>
          </w:p>
        </w:tc>
        <w:tc>
          <w:tcPr>
            <w:tcW w:w="7954" w:type="dxa"/>
          </w:tcPr>
          <w:p w14:paraId="775092F3" w14:textId="04115140" w:rsidR="00400116" w:rsidRPr="00A2672A" w:rsidRDefault="00400116" w:rsidP="00400116">
            <w:pPr>
              <w:pStyle w:val="Standard"/>
              <w:autoSpaceDE w:val="0"/>
              <w:rPr>
                <w:rFonts w:asciiTheme="minorHAnsi" w:eastAsia="Helvetica" w:hAnsiTheme="minorHAnsi" w:cstheme="minorHAnsi"/>
                <w:b/>
                <w:bCs/>
                <w:sz w:val="22"/>
                <w:szCs w:val="22"/>
              </w:rPr>
            </w:pPr>
            <w:r w:rsidRPr="00A2672A">
              <w:rPr>
                <w:rFonts w:asciiTheme="minorHAnsi" w:hAnsiTheme="minorHAnsi" w:cstheme="minorHAnsi"/>
                <w:b/>
                <w:bCs/>
                <w:sz w:val="22"/>
                <w:szCs w:val="22"/>
              </w:rPr>
              <w:t xml:space="preserve">Thème </w:t>
            </w:r>
            <w:r w:rsidR="00391F09" w:rsidRPr="00A2672A">
              <w:rPr>
                <w:rFonts w:asciiTheme="minorHAnsi" w:hAnsiTheme="minorHAnsi" w:cstheme="minorHAnsi"/>
                <w:b/>
                <w:bCs/>
                <w:sz w:val="22"/>
                <w:szCs w:val="22"/>
              </w:rPr>
              <w:t>« Education »</w:t>
            </w:r>
            <w:r w:rsidRPr="00A2672A">
              <w:rPr>
                <w:rFonts w:asciiTheme="minorHAnsi" w:hAnsiTheme="minorHAnsi" w:cstheme="minorHAnsi"/>
                <w:b/>
                <w:bCs/>
                <w:sz w:val="22"/>
                <w:szCs w:val="22"/>
              </w:rPr>
              <w:t xml:space="preserve"> </w:t>
            </w:r>
          </w:p>
        </w:tc>
        <w:tc>
          <w:tcPr>
            <w:tcW w:w="6803" w:type="dxa"/>
          </w:tcPr>
          <w:p w14:paraId="4D5A6B09" w14:textId="77777777" w:rsidR="00400116" w:rsidRPr="00915639" w:rsidRDefault="00400116" w:rsidP="00400116">
            <w:pPr>
              <w:pStyle w:val="Standard"/>
              <w:autoSpaceDE w:val="0"/>
              <w:rPr>
                <w:rFonts w:asciiTheme="minorHAnsi" w:hAnsiTheme="minorHAnsi" w:cstheme="minorHAnsi"/>
                <w:sz w:val="22"/>
                <w:szCs w:val="22"/>
              </w:rPr>
            </w:pPr>
          </w:p>
        </w:tc>
      </w:tr>
      <w:tr w:rsidR="00400116" w:rsidRPr="00915639" w14:paraId="5C47AD59" w14:textId="20C90FA3" w:rsidTr="00400116">
        <w:tc>
          <w:tcPr>
            <w:tcW w:w="686" w:type="dxa"/>
          </w:tcPr>
          <w:p w14:paraId="74895AD1" w14:textId="5396A13E"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002</w:t>
            </w:r>
          </w:p>
        </w:tc>
        <w:tc>
          <w:tcPr>
            <w:tcW w:w="7954" w:type="dxa"/>
          </w:tcPr>
          <w:p w14:paraId="66A8295C" w14:textId="052FDCD0" w:rsidR="00400116" w:rsidRPr="00A2672A" w:rsidRDefault="00391F09"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eastAsia="Helvetica" w:hAnsiTheme="minorHAnsi" w:cstheme="minorHAnsi"/>
                <w:sz w:val="22"/>
                <w:szCs w:val="22"/>
              </w:rPr>
              <w:t>Un système éducatif pour lutter contre les inégalités et démocratiser</w:t>
            </w:r>
          </w:p>
        </w:tc>
        <w:tc>
          <w:tcPr>
            <w:tcW w:w="6803" w:type="dxa"/>
          </w:tcPr>
          <w:p w14:paraId="5C69B21C"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4CBBC05B" w14:textId="5DE2CA77" w:rsidTr="00400116">
        <w:tc>
          <w:tcPr>
            <w:tcW w:w="686" w:type="dxa"/>
          </w:tcPr>
          <w:p w14:paraId="1A31484B" w14:textId="54B4B9F0"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003</w:t>
            </w:r>
          </w:p>
        </w:tc>
        <w:tc>
          <w:tcPr>
            <w:tcW w:w="7954" w:type="dxa"/>
          </w:tcPr>
          <w:p w14:paraId="44D223FF" w14:textId="2EB89051"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607E1F74"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016DF20E" w14:textId="61899861" w:rsidTr="00400116">
        <w:tc>
          <w:tcPr>
            <w:tcW w:w="686" w:type="dxa"/>
          </w:tcPr>
          <w:p w14:paraId="2ADE682F" w14:textId="344E140A"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004</w:t>
            </w:r>
          </w:p>
        </w:tc>
        <w:tc>
          <w:tcPr>
            <w:tcW w:w="7954" w:type="dxa"/>
          </w:tcPr>
          <w:p w14:paraId="59CF5147" w14:textId="0A6D95D1"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eastAsia="Helvetica" w:hAnsiTheme="minorHAnsi" w:cstheme="minorHAnsi"/>
                <w:sz w:val="22"/>
                <w:szCs w:val="22"/>
              </w:rPr>
              <w:t>Rapporteuses - Rapporteurs</w:t>
            </w:r>
          </w:p>
        </w:tc>
        <w:tc>
          <w:tcPr>
            <w:tcW w:w="6803" w:type="dxa"/>
          </w:tcPr>
          <w:p w14:paraId="76A7A903"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7974533E" w14:textId="190BC7E3" w:rsidTr="00400116">
        <w:tc>
          <w:tcPr>
            <w:tcW w:w="686" w:type="dxa"/>
          </w:tcPr>
          <w:p w14:paraId="552E46C5" w14:textId="32639408"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005</w:t>
            </w:r>
          </w:p>
        </w:tc>
        <w:tc>
          <w:tcPr>
            <w:tcW w:w="7954" w:type="dxa"/>
          </w:tcPr>
          <w:p w14:paraId="71EBADB8" w14:textId="09CB02BC" w:rsidR="00400116" w:rsidRPr="00A2672A" w:rsidRDefault="0008291D"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eastAsia="Helvetica" w:hAnsiTheme="minorHAnsi" w:cstheme="minorHAnsi"/>
                <w:sz w:val="22"/>
                <w:szCs w:val="22"/>
              </w:rPr>
              <w:t xml:space="preserve">Xavier Marand, Aurélia Sarrasin, Emmanuel </w:t>
            </w:r>
            <w:proofErr w:type="spellStart"/>
            <w:r w:rsidRPr="00A2672A">
              <w:rPr>
                <w:rFonts w:asciiTheme="minorHAnsi" w:eastAsia="Helvetica" w:hAnsiTheme="minorHAnsi" w:cstheme="minorHAnsi"/>
                <w:sz w:val="22"/>
                <w:szCs w:val="22"/>
              </w:rPr>
              <w:t>Séchet</w:t>
            </w:r>
            <w:proofErr w:type="spellEnd"/>
            <w:r w:rsidRPr="00A2672A">
              <w:rPr>
                <w:rFonts w:asciiTheme="minorHAnsi" w:eastAsia="Helvetica" w:hAnsiTheme="minorHAnsi" w:cstheme="minorHAnsi"/>
                <w:sz w:val="22"/>
                <w:szCs w:val="22"/>
              </w:rPr>
              <w:t xml:space="preserve">, </w:t>
            </w:r>
            <w:r w:rsidR="00400116" w:rsidRPr="00A2672A">
              <w:rPr>
                <w:rFonts w:asciiTheme="minorHAnsi" w:eastAsia="Helvetica" w:hAnsiTheme="minorHAnsi" w:cstheme="minorHAnsi"/>
                <w:sz w:val="22"/>
                <w:szCs w:val="22"/>
              </w:rPr>
              <w:t xml:space="preserve">Valérie </w:t>
            </w:r>
            <w:proofErr w:type="spellStart"/>
            <w:r w:rsidR="00400116" w:rsidRPr="00A2672A">
              <w:rPr>
                <w:rFonts w:asciiTheme="minorHAnsi" w:eastAsia="Helvetica" w:hAnsiTheme="minorHAnsi" w:cstheme="minorHAnsi"/>
                <w:sz w:val="22"/>
                <w:szCs w:val="22"/>
              </w:rPr>
              <w:t>Sipahimalani</w:t>
            </w:r>
            <w:proofErr w:type="spellEnd"/>
          </w:p>
        </w:tc>
        <w:tc>
          <w:tcPr>
            <w:tcW w:w="6803" w:type="dxa"/>
          </w:tcPr>
          <w:p w14:paraId="7400033D"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6BA600A5" w14:textId="3F8928B5" w:rsidTr="00400116">
        <w:tc>
          <w:tcPr>
            <w:tcW w:w="686" w:type="dxa"/>
          </w:tcPr>
          <w:p w14:paraId="0A474D51" w14:textId="3132CCED" w:rsidR="00400116" w:rsidRPr="00400116" w:rsidRDefault="00400116" w:rsidP="00400116">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006</w:t>
            </w:r>
          </w:p>
        </w:tc>
        <w:tc>
          <w:tcPr>
            <w:tcW w:w="7954" w:type="dxa"/>
          </w:tcPr>
          <w:p w14:paraId="7EAA7060" w14:textId="3733FA23" w:rsidR="00400116" w:rsidRPr="00A2672A" w:rsidRDefault="00400116" w:rsidP="00400116">
            <w:pPr>
              <w:pStyle w:val="Standard"/>
              <w:autoSpaceDE w:val="0"/>
              <w:rPr>
                <w:rFonts w:asciiTheme="minorHAnsi" w:eastAsia="Helvetica" w:hAnsiTheme="minorHAnsi" w:cstheme="minorHAnsi"/>
                <w:sz w:val="22"/>
                <w:szCs w:val="22"/>
              </w:rPr>
            </w:pPr>
          </w:p>
        </w:tc>
        <w:tc>
          <w:tcPr>
            <w:tcW w:w="6803" w:type="dxa"/>
          </w:tcPr>
          <w:p w14:paraId="0BEB70D0" w14:textId="77777777" w:rsidR="00400116" w:rsidRPr="00915639" w:rsidRDefault="00400116" w:rsidP="00400116">
            <w:pPr>
              <w:pStyle w:val="Standard"/>
              <w:autoSpaceDE w:val="0"/>
              <w:rPr>
                <w:rFonts w:asciiTheme="minorHAnsi" w:eastAsia="Helvetica" w:hAnsiTheme="minorHAnsi" w:cstheme="minorHAnsi"/>
                <w:sz w:val="22"/>
                <w:szCs w:val="22"/>
              </w:rPr>
            </w:pPr>
          </w:p>
        </w:tc>
      </w:tr>
      <w:tr w:rsidR="00400116" w:rsidRPr="00915639" w14:paraId="1F946A6C" w14:textId="625392DC" w:rsidTr="00400116">
        <w:tc>
          <w:tcPr>
            <w:tcW w:w="686" w:type="dxa"/>
          </w:tcPr>
          <w:p w14:paraId="4C579C62" w14:textId="04EC67A8" w:rsidR="00400116" w:rsidRPr="00400116" w:rsidRDefault="00400116" w:rsidP="00400116">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007</w:t>
            </w:r>
          </w:p>
        </w:tc>
        <w:tc>
          <w:tcPr>
            <w:tcW w:w="7954" w:type="dxa"/>
          </w:tcPr>
          <w:p w14:paraId="5A7397D3" w14:textId="75770C3F" w:rsidR="00400116" w:rsidRPr="00A2672A" w:rsidRDefault="00653359" w:rsidP="00400116">
            <w:pPr>
              <w:pStyle w:val="Standard"/>
              <w:autoSpaceDE w:val="0"/>
              <w:rPr>
                <w:rFonts w:asciiTheme="minorHAnsi" w:eastAsia="Helvetica" w:hAnsiTheme="minorHAnsi" w:cstheme="minorHAnsi"/>
                <w:b/>
                <w:bCs/>
                <w:sz w:val="22"/>
                <w:szCs w:val="22"/>
              </w:rPr>
            </w:pPr>
            <w:r w:rsidRPr="00A2672A">
              <w:rPr>
                <w:rFonts w:asciiTheme="minorHAnsi" w:hAnsiTheme="minorHAnsi" w:cstheme="minorHAnsi"/>
                <w:sz w:val="22"/>
                <w:szCs w:val="22"/>
              </w:rPr>
              <w:t>1. La crise sanitaire a jeté une lumière crue sur les inégalités qu’affronte le système éducatif : inégalités sociales de réussite scolaire renforcées par les périodes de confinement, inégalités d’apprentissage générées par les choix sanitaires effectués par les établissements, inégalités territoriales aggravées par l’affaiblissement des cadres nationaux et la promotion du couple autonomie/contractualisation.</w:t>
            </w:r>
          </w:p>
        </w:tc>
        <w:tc>
          <w:tcPr>
            <w:tcW w:w="6803" w:type="dxa"/>
          </w:tcPr>
          <w:p w14:paraId="3B35DDB6" w14:textId="77777777" w:rsidR="00400116" w:rsidRPr="00915639" w:rsidRDefault="00400116" w:rsidP="00400116">
            <w:pPr>
              <w:pStyle w:val="Standard"/>
              <w:autoSpaceDE w:val="0"/>
              <w:rPr>
                <w:rFonts w:asciiTheme="minorHAnsi" w:eastAsia="Helvetica" w:hAnsiTheme="minorHAnsi" w:cstheme="minorHAnsi"/>
                <w:sz w:val="22"/>
                <w:szCs w:val="22"/>
              </w:rPr>
            </w:pPr>
          </w:p>
        </w:tc>
      </w:tr>
      <w:tr w:rsidR="00400116" w:rsidRPr="00915639" w14:paraId="341AB359" w14:textId="1C875627" w:rsidTr="00400116">
        <w:tc>
          <w:tcPr>
            <w:tcW w:w="686" w:type="dxa"/>
          </w:tcPr>
          <w:p w14:paraId="0C788C97" w14:textId="7C515D69" w:rsidR="00400116" w:rsidRPr="00400116" w:rsidRDefault="00400116" w:rsidP="00400116">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008</w:t>
            </w:r>
          </w:p>
        </w:tc>
        <w:tc>
          <w:tcPr>
            <w:tcW w:w="7954" w:type="dxa"/>
          </w:tcPr>
          <w:p w14:paraId="1BC372E0" w14:textId="63FC743E" w:rsidR="00400116" w:rsidRPr="00A2672A" w:rsidRDefault="00400116" w:rsidP="00400116">
            <w:pPr>
              <w:pStyle w:val="Standard"/>
              <w:autoSpaceDE w:val="0"/>
              <w:rPr>
                <w:rFonts w:asciiTheme="minorHAnsi" w:eastAsia="Helvetica" w:hAnsiTheme="minorHAnsi" w:cstheme="minorHAnsi"/>
                <w:sz w:val="22"/>
                <w:szCs w:val="22"/>
              </w:rPr>
            </w:pPr>
          </w:p>
        </w:tc>
        <w:tc>
          <w:tcPr>
            <w:tcW w:w="6803" w:type="dxa"/>
          </w:tcPr>
          <w:p w14:paraId="0F00D124" w14:textId="77777777" w:rsidR="00400116" w:rsidRPr="00915639" w:rsidRDefault="00400116" w:rsidP="00400116">
            <w:pPr>
              <w:pStyle w:val="Standard"/>
              <w:autoSpaceDE w:val="0"/>
              <w:rPr>
                <w:rFonts w:asciiTheme="minorHAnsi" w:eastAsia="Helvetica" w:hAnsiTheme="minorHAnsi" w:cstheme="minorHAnsi"/>
                <w:sz w:val="22"/>
                <w:szCs w:val="22"/>
              </w:rPr>
            </w:pPr>
          </w:p>
        </w:tc>
      </w:tr>
      <w:tr w:rsidR="00400116" w:rsidRPr="00915639" w14:paraId="0105997B" w14:textId="2D6403AF" w:rsidTr="00400116">
        <w:tc>
          <w:tcPr>
            <w:tcW w:w="686" w:type="dxa"/>
          </w:tcPr>
          <w:p w14:paraId="737A3DC6" w14:textId="58798CFD"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009</w:t>
            </w:r>
          </w:p>
        </w:tc>
        <w:tc>
          <w:tcPr>
            <w:tcW w:w="7954" w:type="dxa"/>
          </w:tcPr>
          <w:p w14:paraId="7F5F2B1B" w14:textId="737ACCCA" w:rsidR="00400116" w:rsidRPr="00A2672A" w:rsidRDefault="00653359"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 xml:space="preserve">Cette situation a amplifié des difficultés plus anciennes liées à la disparité et au manque de moyens subis par les établissements (enseignement, vie scolaire, </w:t>
            </w:r>
            <w:r w:rsidRPr="00A2672A">
              <w:rPr>
                <w:rFonts w:asciiTheme="minorHAnsi" w:hAnsiTheme="minorHAnsi" w:cstheme="minorHAnsi"/>
                <w:sz w:val="22"/>
                <w:szCs w:val="22"/>
              </w:rPr>
              <w:lastRenderedPageBreak/>
              <w:t>orientation, santé), à l’absence de politique volontariste pour améliorer la mixité sociale et scolaire, au refus d’un pilotage national de la carte des formations, et enfin aux réformes pédagogiques néolibérales à l’œuvre depuis la réforme du collège.</w:t>
            </w:r>
          </w:p>
        </w:tc>
        <w:tc>
          <w:tcPr>
            <w:tcW w:w="6803" w:type="dxa"/>
          </w:tcPr>
          <w:p w14:paraId="70EE0D7D"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2C6C1EB0" w14:textId="77886819" w:rsidTr="00400116">
        <w:tc>
          <w:tcPr>
            <w:tcW w:w="686" w:type="dxa"/>
          </w:tcPr>
          <w:p w14:paraId="3857768D" w14:textId="4A22ABE3"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lastRenderedPageBreak/>
              <w:t>010</w:t>
            </w:r>
          </w:p>
        </w:tc>
        <w:tc>
          <w:tcPr>
            <w:tcW w:w="7954" w:type="dxa"/>
          </w:tcPr>
          <w:p w14:paraId="4EDDC219" w14:textId="6C390FEC"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70E724E"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5DA26137" w14:textId="1043F17B" w:rsidTr="00400116">
        <w:tc>
          <w:tcPr>
            <w:tcW w:w="686" w:type="dxa"/>
          </w:tcPr>
          <w:p w14:paraId="5BF71B06" w14:textId="2F290579"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011</w:t>
            </w:r>
          </w:p>
        </w:tc>
        <w:tc>
          <w:tcPr>
            <w:tcW w:w="7954" w:type="dxa"/>
          </w:tcPr>
          <w:p w14:paraId="4AE21091" w14:textId="22E4EBA8"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1993B8AE"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5CECB953" w14:textId="53209924" w:rsidTr="00400116">
        <w:tc>
          <w:tcPr>
            <w:tcW w:w="686" w:type="dxa"/>
          </w:tcPr>
          <w:p w14:paraId="454B4449" w14:textId="53C3BCE9"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012</w:t>
            </w:r>
          </w:p>
        </w:tc>
        <w:tc>
          <w:tcPr>
            <w:tcW w:w="7954" w:type="dxa"/>
          </w:tcPr>
          <w:p w14:paraId="39787351" w14:textId="112804CD" w:rsidR="00400116" w:rsidRPr="00A2672A" w:rsidRDefault="00653359"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2. La revendication du SNES et de la FSU d’égalité d’accès pour l’ensemble d’une génération à une culture commune ambitieuse et aux qualifications peut se traduire dans les faits par une inégalité dans les moyens nécessaires pour y parvenir.</w:t>
            </w:r>
          </w:p>
        </w:tc>
        <w:tc>
          <w:tcPr>
            <w:tcW w:w="6803" w:type="dxa"/>
          </w:tcPr>
          <w:p w14:paraId="249FE12E"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77347639" w14:textId="248E7927" w:rsidTr="00400116">
        <w:tc>
          <w:tcPr>
            <w:tcW w:w="686" w:type="dxa"/>
          </w:tcPr>
          <w:p w14:paraId="3168F130" w14:textId="17331B33"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013</w:t>
            </w:r>
          </w:p>
        </w:tc>
        <w:tc>
          <w:tcPr>
            <w:tcW w:w="7954" w:type="dxa"/>
          </w:tcPr>
          <w:p w14:paraId="008E8943" w14:textId="433150F7"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08CAA609"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67D1421F" w14:textId="61506B14" w:rsidTr="00400116">
        <w:tc>
          <w:tcPr>
            <w:tcW w:w="686" w:type="dxa"/>
          </w:tcPr>
          <w:p w14:paraId="7E0BFC34" w14:textId="1EA7443A"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014</w:t>
            </w:r>
          </w:p>
        </w:tc>
        <w:tc>
          <w:tcPr>
            <w:tcW w:w="7954" w:type="dxa"/>
          </w:tcPr>
          <w:p w14:paraId="7B257A49" w14:textId="5781C522" w:rsidR="00400116" w:rsidRPr="00A2672A" w:rsidRDefault="00653359"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Comment tenir compte de la disparité des situations dans les établissements ?</w:t>
            </w:r>
          </w:p>
        </w:tc>
        <w:tc>
          <w:tcPr>
            <w:tcW w:w="6803" w:type="dxa"/>
          </w:tcPr>
          <w:p w14:paraId="6528C6DD"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035D1DE2" w14:textId="6861FC00" w:rsidTr="00400116">
        <w:tc>
          <w:tcPr>
            <w:tcW w:w="686" w:type="dxa"/>
          </w:tcPr>
          <w:p w14:paraId="5D8DF5F2" w14:textId="11F1309A"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015</w:t>
            </w:r>
          </w:p>
        </w:tc>
        <w:tc>
          <w:tcPr>
            <w:tcW w:w="7954" w:type="dxa"/>
          </w:tcPr>
          <w:p w14:paraId="32A87354" w14:textId="55FBF1C4" w:rsidR="00400116" w:rsidRPr="00A2672A"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120D8589"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400116" w:rsidRPr="00915639" w14:paraId="57C2F97B" w14:textId="2BC8A413" w:rsidTr="00400116">
        <w:tc>
          <w:tcPr>
            <w:tcW w:w="686" w:type="dxa"/>
          </w:tcPr>
          <w:p w14:paraId="5540B14A" w14:textId="6CE23B04" w:rsidR="00400116" w:rsidRPr="00400116"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016</w:t>
            </w:r>
          </w:p>
        </w:tc>
        <w:tc>
          <w:tcPr>
            <w:tcW w:w="7954" w:type="dxa"/>
          </w:tcPr>
          <w:p w14:paraId="4A3B15DF" w14:textId="20BAE3CD" w:rsidR="00400116" w:rsidRPr="00A2672A" w:rsidRDefault="00653359"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Comment construire une école inclusive ?</w:t>
            </w:r>
          </w:p>
        </w:tc>
        <w:tc>
          <w:tcPr>
            <w:tcW w:w="6803" w:type="dxa"/>
          </w:tcPr>
          <w:p w14:paraId="4B4B356F" w14:textId="77777777" w:rsidR="00400116" w:rsidRPr="00915639" w:rsidRDefault="00400116" w:rsidP="00400116">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A438F7F" w14:textId="1F4DB692" w:rsidTr="00400116">
        <w:tc>
          <w:tcPr>
            <w:tcW w:w="686" w:type="dxa"/>
          </w:tcPr>
          <w:p w14:paraId="458D6A5E" w14:textId="3DFEF5B3"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017</w:t>
            </w:r>
          </w:p>
        </w:tc>
        <w:tc>
          <w:tcPr>
            <w:tcW w:w="7954" w:type="dxa"/>
          </w:tcPr>
          <w:p w14:paraId="26501BB4" w14:textId="3D76C478"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0361D150"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33F61389" w14:textId="5AA7AE79" w:rsidTr="00400116">
        <w:tc>
          <w:tcPr>
            <w:tcW w:w="686" w:type="dxa"/>
          </w:tcPr>
          <w:p w14:paraId="09E8894E" w14:textId="7924A792"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018</w:t>
            </w:r>
          </w:p>
        </w:tc>
        <w:tc>
          <w:tcPr>
            <w:tcW w:w="7954" w:type="dxa"/>
          </w:tcPr>
          <w:p w14:paraId="3CE4E370" w14:textId="739CA66E"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Comment conforter l’éducation prioritaire ?</w:t>
            </w:r>
          </w:p>
        </w:tc>
        <w:tc>
          <w:tcPr>
            <w:tcW w:w="6803" w:type="dxa"/>
          </w:tcPr>
          <w:p w14:paraId="6DDD2B9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0B9F2B9F" w14:textId="58DD9B84" w:rsidTr="00400116">
        <w:tc>
          <w:tcPr>
            <w:tcW w:w="686" w:type="dxa"/>
          </w:tcPr>
          <w:p w14:paraId="3E66DA3E" w14:textId="0E3D7A30"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019</w:t>
            </w:r>
          </w:p>
        </w:tc>
        <w:tc>
          <w:tcPr>
            <w:tcW w:w="7954" w:type="dxa"/>
          </w:tcPr>
          <w:p w14:paraId="02582C11" w14:textId="105C0863"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8A3ED32"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1AA14064" w14:textId="53CF73A0" w:rsidTr="00400116">
        <w:tc>
          <w:tcPr>
            <w:tcW w:w="686" w:type="dxa"/>
          </w:tcPr>
          <w:p w14:paraId="4E5F28E6" w14:textId="67853783"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020</w:t>
            </w:r>
          </w:p>
        </w:tc>
        <w:tc>
          <w:tcPr>
            <w:tcW w:w="7954" w:type="dxa"/>
          </w:tcPr>
          <w:p w14:paraId="74592304" w14:textId="56982103"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Dans un cadre de relance budgétaire de l’Éducation nationale, une fois les établissements dotés pour fonctionner selon des grilles horaires nationales incluant les dédoublements et des seuils d’élèves par classe, une dotation complémentaire suffisante et progressive pourrait leur être allouée, graduée selon le niveau de difficulté sociale et scolaire des élèves, et non selon des projets ou contrats.</w:t>
            </w:r>
          </w:p>
        </w:tc>
        <w:tc>
          <w:tcPr>
            <w:tcW w:w="6803" w:type="dxa"/>
          </w:tcPr>
          <w:p w14:paraId="5893A082"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4ED050F" w14:textId="32817DD5" w:rsidTr="00400116">
        <w:tc>
          <w:tcPr>
            <w:tcW w:w="686" w:type="dxa"/>
          </w:tcPr>
          <w:p w14:paraId="2196B49E" w14:textId="7CAF7FA4"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021</w:t>
            </w:r>
          </w:p>
        </w:tc>
        <w:tc>
          <w:tcPr>
            <w:tcW w:w="7954" w:type="dxa"/>
          </w:tcPr>
          <w:p w14:paraId="372FEEE8" w14:textId="35BA7ACF"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2CC52FB8"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04AC1832" w14:textId="23C4696E" w:rsidTr="00400116">
        <w:tc>
          <w:tcPr>
            <w:tcW w:w="686" w:type="dxa"/>
          </w:tcPr>
          <w:p w14:paraId="4DC820EE" w14:textId="73C0BBB9"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022</w:t>
            </w:r>
          </w:p>
        </w:tc>
        <w:tc>
          <w:tcPr>
            <w:tcW w:w="7954" w:type="dxa"/>
          </w:tcPr>
          <w:p w14:paraId="53E7F4ED" w14:textId="67173A1D"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10D74A8"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10111BD7" w14:textId="3C4126C0" w:rsidTr="00400116">
        <w:tc>
          <w:tcPr>
            <w:tcW w:w="686" w:type="dxa"/>
          </w:tcPr>
          <w:p w14:paraId="64A0A6A5" w14:textId="43EE9FDE"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023</w:t>
            </w:r>
          </w:p>
        </w:tc>
        <w:tc>
          <w:tcPr>
            <w:tcW w:w="7954" w:type="dxa"/>
          </w:tcPr>
          <w:p w14:paraId="5928DF73" w14:textId="002127C7"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3. Cette égalité d’ambition pour l’ensemble d’une génération suppose aussi de donner un cadre pédagogique national fort à des personnels concepteurs de leur activité, en mesure de le mettre en œuvre au plus près des besoins de leurs élèves.</w:t>
            </w:r>
          </w:p>
        </w:tc>
        <w:tc>
          <w:tcPr>
            <w:tcW w:w="6803" w:type="dxa"/>
          </w:tcPr>
          <w:p w14:paraId="2A7865CC"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0C23503B" w14:textId="67E618FA" w:rsidTr="00400116">
        <w:tc>
          <w:tcPr>
            <w:tcW w:w="686" w:type="dxa"/>
          </w:tcPr>
          <w:p w14:paraId="07B46962" w14:textId="3477E4A3"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024</w:t>
            </w:r>
          </w:p>
        </w:tc>
        <w:tc>
          <w:tcPr>
            <w:tcW w:w="7954" w:type="dxa"/>
          </w:tcPr>
          <w:p w14:paraId="7B65D182" w14:textId="5BA8BFEE"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01590ECF"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6EF5268E" w14:textId="5099C276" w:rsidTr="00400116">
        <w:tc>
          <w:tcPr>
            <w:tcW w:w="686" w:type="dxa"/>
          </w:tcPr>
          <w:p w14:paraId="1CF10CA1" w14:textId="768B04A6"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025</w:t>
            </w:r>
          </w:p>
        </w:tc>
        <w:tc>
          <w:tcPr>
            <w:tcW w:w="7954" w:type="dxa"/>
          </w:tcPr>
          <w:p w14:paraId="41C99F68" w14:textId="04FE9B3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Ce cadre doit comprendre :</w:t>
            </w:r>
          </w:p>
        </w:tc>
        <w:tc>
          <w:tcPr>
            <w:tcW w:w="6803" w:type="dxa"/>
          </w:tcPr>
          <w:p w14:paraId="35C6099A"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00111665" w14:textId="096B2AFF" w:rsidTr="00400116">
        <w:tc>
          <w:tcPr>
            <w:tcW w:w="686" w:type="dxa"/>
          </w:tcPr>
          <w:p w14:paraId="122C9688" w14:textId="4E3E406D"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026</w:t>
            </w:r>
          </w:p>
        </w:tc>
        <w:tc>
          <w:tcPr>
            <w:tcW w:w="7954" w:type="dxa"/>
          </w:tcPr>
          <w:p w14:paraId="4DD50441" w14:textId="3C588C14"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6F5D2824"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2C5F92FE" w14:textId="63D9CD0F" w:rsidTr="00400116">
        <w:tc>
          <w:tcPr>
            <w:tcW w:w="686" w:type="dxa"/>
          </w:tcPr>
          <w:p w14:paraId="78861E4C" w14:textId="453A73A2"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027</w:t>
            </w:r>
          </w:p>
        </w:tc>
        <w:tc>
          <w:tcPr>
            <w:tcW w:w="7954" w:type="dxa"/>
          </w:tcPr>
          <w:p w14:paraId="2A94DFEF" w14:textId="75D7415C"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 des grilles horaires en classe entière et en effectifs allégés ;</w:t>
            </w:r>
          </w:p>
        </w:tc>
        <w:tc>
          <w:tcPr>
            <w:tcW w:w="6803" w:type="dxa"/>
          </w:tcPr>
          <w:p w14:paraId="359CAC84"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5C2050BC" w14:textId="5693054A" w:rsidTr="00400116">
        <w:tc>
          <w:tcPr>
            <w:tcW w:w="686" w:type="dxa"/>
          </w:tcPr>
          <w:p w14:paraId="17BAB312" w14:textId="6E72E61D"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028</w:t>
            </w:r>
          </w:p>
        </w:tc>
        <w:tc>
          <w:tcPr>
            <w:tcW w:w="7954" w:type="dxa"/>
          </w:tcPr>
          <w:p w14:paraId="6996E01B" w14:textId="7C0ABF96"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613ED0B5"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74260206" w14:textId="41D98E04" w:rsidTr="00400116">
        <w:tc>
          <w:tcPr>
            <w:tcW w:w="686" w:type="dxa"/>
          </w:tcPr>
          <w:p w14:paraId="3EBA964A" w14:textId="48F2E5B0"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029</w:t>
            </w:r>
          </w:p>
        </w:tc>
        <w:tc>
          <w:tcPr>
            <w:tcW w:w="7954" w:type="dxa"/>
          </w:tcPr>
          <w:p w14:paraId="5EC62FD6" w14:textId="0BE93A30"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 xml:space="preserve">- les programmes des différentes disciplines ;   </w:t>
            </w:r>
          </w:p>
        </w:tc>
        <w:tc>
          <w:tcPr>
            <w:tcW w:w="6803" w:type="dxa"/>
          </w:tcPr>
          <w:p w14:paraId="5229F642"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3F6F77D5" w14:textId="2ED934C5" w:rsidTr="00400116">
        <w:tc>
          <w:tcPr>
            <w:tcW w:w="686" w:type="dxa"/>
          </w:tcPr>
          <w:p w14:paraId="68D2E23E" w14:textId="2962743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030</w:t>
            </w:r>
          </w:p>
        </w:tc>
        <w:tc>
          <w:tcPr>
            <w:tcW w:w="7954" w:type="dxa"/>
          </w:tcPr>
          <w:p w14:paraId="7128A5D9" w14:textId="0CA8A94C"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5DCA2788"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02D0AC31" w14:textId="2F5B6E90" w:rsidTr="00400116">
        <w:tc>
          <w:tcPr>
            <w:tcW w:w="686" w:type="dxa"/>
          </w:tcPr>
          <w:p w14:paraId="5BF618E6" w14:textId="411155AC"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031</w:t>
            </w:r>
          </w:p>
        </w:tc>
        <w:tc>
          <w:tcPr>
            <w:tcW w:w="7954" w:type="dxa"/>
          </w:tcPr>
          <w:p w14:paraId="325505EA" w14:textId="3D738826"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61AD6234"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02D1CC1C" w14:textId="539D4134" w:rsidTr="00400116">
        <w:tc>
          <w:tcPr>
            <w:tcW w:w="686" w:type="dxa"/>
          </w:tcPr>
          <w:p w14:paraId="4F1AA427" w14:textId="51106C5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032</w:t>
            </w:r>
          </w:p>
        </w:tc>
        <w:tc>
          <w:tcPr>
            <w:tcW w:w="7954" w:type="dxa"/>
          </w:tcPr>
          <w:p w14:paraId="1A6A8089" w14:textId="26E146C0"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 les moyens de fonctionnement ;</w:t>
            </w:r>
          </w:p>
        </w:tc>
        <w:tc>
          <w:tcPr>
            <w:tcW w:w="6803" w:type="dxa"/>
          </w:tcPr>
          <w:p w14:paraId="52DB3956"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42149E0A" w14:textId="3F338317" w:rsidTr="00400116">
        <w:tc>
          <w:tcPr>
            <w:tcW w:w="686" w:type="dxa"/>
          </w:tcPr>
          <w:p w14:paraId="5C64B3D3" w14:textId="7E19430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033</w:t>
            </w:r>
          </w:p>
        </w:tc>
        <w:tc>
          <w:tcPr>
            <w:tcW w:w="7954" w:type="dxa"/>
          </w:tcPr>
          <w:p w14:paraId="45900B77" w14:textId="34CFD08C"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3638E3F2"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0A9876B5" w14:textId="3F8D858B" w:rsidTr="00400116">
        <w:tc>
          <w:tcPr>
            <w:tcW w:w="686" w:type="dxa"/>
          </w:tcPr>
          <w:p w14:paraId="07A1B02B" w14:textId="2A2D8CA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034</w:t>
            </w:r>
          </w:p>
        </w:tc>
        <w:tc>
          <w:tcPr>
            <w:tcW w:w="7954" w:type="dxa"/>
          </w:tcPr>
          <w:p w14:paraId="2BFFACE4" w14:textId="2F910013"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 une carte des enseignements et des options, au financement garanti ;</w:t>
            </w:r>
          </w:p>
        </w:tc>
        <w:tc>
          <w:tcPr>
            <w:tcW w:w="6803" w:type="dxa"/>
          </w:tcPr>
          <w:p w14:paraId="3348FC0A"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4A8FCEAD" w14:textId="11F9DD9C" w:rsidTr="00400116">
        <w:tc>
          <w:tcPr>
            <w:tcW w:w="686" w:type="dxa"/>
          </w:tcPr>
          <w:p w14:paraId="767FE514" w14:textId="3079E186"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035</w:t>
            </w:r>
          </w:p>
        </w:tc>
        <w:tc>
          <w:tcPr>
            <w:tcW w:w="7954" w:type="dxa"/>
          </w:tcPr>
          <w:p w14:paraId="160EA2FF" w14:textId="0B70E912"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39B75235"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23EA433B" w14:textId="48D99F5C" w:rsidTr="00400116">
        <w:tc>
          <w:tcPr>
            <w:tcW w:w="686" w:type="dxa"/>
          </w:tcPr>
          <w:p w14:paraId="1E2AE109" w14:textId="4ECD9903"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t>036</w:t>
            </w:r>
          </w:p>
        </w:tc>
        <w:tc>
          <w:tcPr>
            <w:tcW w:w="7954" w:type="dxa"/>
          </w:tcPr>
          <w:p w14:paraId="09F8ABFA" w14:textId="5B673619"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r w:rsidRPr="00A2672A">
              <w:rPr>
                <w:rFonts w:asciiTheme="minorHAnsi" w:hAnsiTheme="minorHAnsi" w:cstheme="minorHAnsi"/>
                <w:sz w:val="22"/>
                <w:szCs w:val="22"/>
              </w:rPr>
              <w:t xml:space="preserve">- des évaluations certificatives nationales terminales, en particulier le DNB et le </w:t>
            </w:r>
            <w:r w:rsidRPr="00A2672A">
              <w:rPr>
                <w:rFonts w:asciiTheme="minorHAnsi" w:hAnsiTheme="minorHAnsi" w:cstheme="minorHAnsi"/>
                <w:sz w:val="22"/>
                <w:szCs w:val="22"/>
              </w:rPr>
              <w:lastRenderedPageBreak/>
              <w:t>baccalauréat ;</w:t>
            </w:r>
          </w:p>
        </w:tc>
        <w:tc>
          <w:tcPr>
            <w:tcW w:w="6803" w:type="dxa"/>
          </w:tcPr>
          <w:p w14:paraId="5FC359AC"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4851B467" w14:textId="6453FFBD" w:rsidTr="00400116">
        <w:tc>
          <w:tcPr>
            <w:tcW w:w="686" w:type="dxa"/>
          </w:tcPr>
          <w:p w14:paraId="4087DFDF" w14:textId="4073DEEF"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r w:rsidRPr="00400116">
              <w:rPr>
                <w:rFonts w:asciiTheme="minorHAnsi" w:eastAsia="Helvetica" w:hAnsiTheme="minorHAnsi" w:cstheme="minorHAnsi"/>
                <w:sz w:val="22"/>
                <w:szCs w:val="22"/>
              </w:rPr>
              <w:lastRenderedPageBreak/>
              <w:t>037</w:t>
            </w:r>
          </w:p>
        </w:tc>
        <w:tc>
          <w:tcPr>
            <w:tcW w:w="7954" w:type="dxa"/>
          </w:tcPr>
          <w:p w14:paraId="6D21E4C1" w14:textId="6866DF42"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hAnsiTheme="minorHAnsi" w:cstheme="minorHAnsi"/>
                <w:sz w:val="22"/>
                <w:szCs w:val="22"/>
              </w:rPr>
            </w:pPr>
          </w:p>
        </w:tc>
        <w:tc>
          <w:tcPr>
            <w:tcW w:w="6803" w:type="dxa"/>
          </w:tcPr>
          <w:p w14:paraId="0586D0DA"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LucidaSans" w:hAnsiTheme="minorHAnsi" w:cstheme="minorHAnsi"/>
                <w:sz w:val="22"/>
                <w:szCs w:val="22"/>
              </w:rPr>
            </w:pPr>
          </w:p>
        </w:tc>
      </w:tr>
      <w:tr w:rsidR="00653359" w:rsidRPr="00915639" w14:paraId="0CB394DC" w14:textId="2006F0D9" w:rsidTr="00400116">
        <w:tc>
          <w:tcPr>
            <w:tcW w:w="686" w:type="dxa"/>
          </w:tcPr>
          <w:p w14:paraId="34488929" w14:textId="383C3E4E"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038</w:t>
            </w:r>
          </w:p>
        </w:tc>
        <w:tc>
          <w:tcPr>
            <w:tcW w:w="7954" w:type="dxa"/>
          </w:tcPr>
          <w:p w14:paraId="0182A9AA" w14:textId="21302885" w:rsidR="00653359" w:rsidRPr="00A2672A" w:rsidRDefault="00653359" w:rsidP="00653359">
            <w:pPr>
              <w:pStyle w:val="Standard"/>
              <w:autoSpaceDE w:val="0"/>
              <w:rPr>
                <w:rFonts w:asciiTheme="minorHAnsi" w:eastAsia="Helvetica" w:hAnsiTheme="minorHAnsi" w:cstheme="minorHAnsi"/>
                <w:sz w:val="22"/>
                <w:szCs w:val="22"/>
              </w:rPr>
            </w:pPr>
            <w:r w:rsidRPr="00A2672A">
              <w:rPr>
                <w:rFonts w:asciiTheme="minorHAnsi" w:hAnsiTheme="minorHAnsi" w:cstheme="minorHAnsi"/>
                <w:sz w:val="22"/>
                <w:szCs w:val="22"/>
              </w:rPr>
              <w:t>- des dotations en personnels ;</w:t>
            </w:r>
          </w:p>
        </w:tc>
        <w:tc>
          <w:tcPr>
            <w:tcW w:w="6803" w:type="dxa"/>
          </w:tcPr>
          <w:p w14:paraId="45526A68"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5B561E0E" w14:textId="05C8ECC1" w:rsidTr="00400116">
        <w:tc>
          <w:tcPr>
            <w:tcW w:w="686" w:type="dxa"/>
          </w:tcPr>
          <w:p w14:paraId="1437D0D5" w14:textId="7A2F1B1C"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039</w:t>
            </w:r>
          </w:p>
        </w:tc>
        <w:tc>
          <w:tcPr>
            <w:tcW w:w="7954" w:type="dxa"/>
          </w:tcPr>
          <w:p w14:paraId="3D435664" w14:textId="53AC202F"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082F5AD8"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3C2D2FA9" w14:textId="1BBCC2D3" w:rsidTr="00400116">
        <w:tc>
          <w:tcPr>
            <w:tcW w:w="686" w:type="dxa"/>
          </w:tcPr>
          <w:p w14:paraId="6163F4C2" w14:textId="7C300D22"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040</w:t>
            </w:r>
          </w:p>
        </w:tc>
        <w:tc>
          <w:tcPr>
            <w:tcW w:w="7954" w:type="dxa"/>
          </w:tcPr>
          <w:p w14:paraId="606274F1" w14:textId="0FD2D58B" w:rsidR="00653359" w:rsidRPr="00A2672A" w:rsidRDefault="00653359" w:rsidP="00653359">
            <w:pPr>
              <w:pStyle w:val="Standard"/>
              <w:autoSpaceDE w:val="0"/>
              <w:rPr>
                <w:rFonts w:asciiTheme="minorHAnsi" w:eastAsia="Helvetica" w:hAnsiTheme="minorHAnsi" w:cstheme="minorHAnsi"/>
                <w:sz w:val="22"/>
                <w:szCs w:val="22"/>
              </w:rPr>
            </w:pPr>
            <w:r w:rsidRPr="00A2672A">
              <w:rPr>
                <w:rFonts w:asciiTheme="minorHAnsi" w:hAnsiTheme="minorHAnsi" w:cstheme="minorHAnsi"/>
                <w:sz w:val="22"/>
                <w:szCs w:val="22"/>
              </w:rPr>
              <w:t>- une formation initiale et continue de qualité.</w:t>
            </w:r>
          </w:p>
        </w:tc>
        <w:tc>
          <w:tcPr>
            <w:tcW w:w="6803" w:type="dxa"/>
          </w:tcPr>
          <w:p w14:paraId="338ACE87"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4B7955E1" w14:textId="6F21DB85" w:rsidTr="00400116">
        <w:tc>
          <w:tcPr>
            <w:tcW w:w="686" w:type="dxa"/>
          </w:tcPr>
          <w:p w14:paraId="04F99710" w14:textId="5A74DD3E" w:rsidR="00653359" w:rsidRPr="00400116" w:rsidRDefault="00653359" w:rsidP="00653359">
            <w:pPr>
              <w:pStyle w:val="Standard"/>
              <w:rPr>
                <w:rFonts w:asciiTheme="minorHAnsi" w:eastAsia="Helvetica" w:hAnsiTheme="minorHAnsi" w:cstheme="minorHAnsi"/>
                <w:sz w:val="22"/>
                <w:szCs w:val="22"/>
              </w:rPr>
            </w:pPr>
            <w:r w:rsidRPr="00400116">
              <w:rPr>
                <w:rFonts w:asciiTheme="minorHAnsi" w:eastAsia="Helvetica" w:hAnsiTheme="minorHAnsi" w:cstheme="minorHAnsi"/>
                <w:sz w:val="22"/>
                <w:szCs w:val="22"/>
              </w:rPr>
              <w:t>041</w:t>
            </w:r>
          </w:p>
        </w:tc>
        <w:tc>
          <w:tcPr>
            <w:tcW w:w="7954" w:type="dxa"/>
          </w:tcPr>
          <w:p w14:paraId="2C8A29FB" w14:textId="19DC93F6" w:rsidR="00653359" w:rsidRPr="00A2672A" w:rsidRDefault="00653359" w:rsidP="00653359">
            <w:pPr>
              <w:pStyle w:val="Standard"/>
              <w:rPr>
                <w:rFonts w:asciiTheme="minorHAnsi" w:eastAsia="Helvetica" w:hAnsiTheme="minorHAnsi" w:cstheme="minorHAnsi"/>
                <w:b/>
                <w:bCs/>
                <w:sz w:val="22"/>
                <w:szCs w:val="22"/>
              </w:rPr>
            </w:pPr>
          </w:p>
        </w:tc>
        <w:tc>
          <w:tcPr>
            <w:tcW w:w="6803" w:type="dxa"/>
          </w:tcPr>
          <w:p w14:paraId="00EF6C4A" w14:textId="77777777" w:rsidR="00653359" w:rsidRPr="00915639" w:rsidRDefault="00653359" w:rsidP="00653359">
            <w:pPr>
              <w:pStyle w:val="Standard"/>
              <w:rPr>
                <w:rFonts w:asciiTheme="minorHAnsi" w:eastAsia="Helvetica" w:hAnsiTheme="minorHAnsi" w:cstheme="minorHAnsi"/>
                <w:sz w:val="22"/>
                <w:szCs w:val="22"/>
              </w:rPr>
            </w:pPr>
          </w:p>
        </w:tc>
      </w:tr>
      <w:tr w:rsidR="00653359" w:rsidRPr="00915639" w14:paraId="06A9DD58" w14:textId="7C1A06CE" w:rsidTr="00400116">
        <w:tc>
          <w:tcPr>
            <w:tcW w:w="686" w:type="dxa"/>
          </w:tcPr>
          <w:p w14:paraId="0146DD5F" w14:textId="5058722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042</w:t>
            </w:r>
          </w:p>
        </w:tc>
        <w:tc>
          <w:tcPr>
            <w:tcW w:w="7954" w:type="dxa"/>
          </w:tcPr>
          <w:p w14:paraId="31F10717" w14:textId="647CB2AF"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Maintenir une richesse de la carte des enseignements et des options est nécessaire.</w:t>
            </w:r>
          </w:p>
        </w:tc>
        <w:tc>
          <w:tcPr>
            <w:tcW w:w="6803" w:type="dxa"/>
          </w:tcPr>
          <w:p w14:paraId="0D84085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FEA582A" w14:textId="1D3FFDFE" w:rsidTr="00400116">
        <w:tc>
          <w:tcPr>
            <w:tcW w:w="686" w:type="dxa"/>
          </w:tcPr>
          <w:p w14:paraId="27FD16B0" w14:textId="6C20522E"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043</w:t>
            </w:r>
          </w:p>
        </w:tc>
        <w:tc>
          <w:tcPr>
            <w:tcW w:w="7954" w:type="dxa"/>
          </w:tcPr>
          <w:p w14:paraId="3D9D203B" w14:textId="3D5D47E4"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3AFFC8B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355718C7" w14:textId="01C34330" w:rsidTr="00400116">
        <w:tc>
          <w:tcPr>
            <w:tcW w:w="686" w:type="dxa"/>
          </w:tcPr>
          <w:p w14:paraId="730FB7D2" w14:textId="2EFD8CE6"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044</w:t>
            </w:r>
          </w:p>
        </w:tc>
        <w:tc>
          <w:tcPr>
            <w:tcW w:w="7954" w:type="dxa"/>
          </w:tcPr>
          <w:p w14:paraId="6C453033" w14:textId="18C78AD7"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À quel niveau territorial en décider et la garantir ?</w:t>
            </w:r>
          </w:p>
        </w:tc>
        <w:tc>
          <w:tcPr>
            <w:tcW w:w="6803" w:type="dxa"/>
          </w:tcPr>
          <w:p w14:paraId="3AF538D8"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2E418AA" w14:textId="6C9276FB" w:rsidTr="00400116">
        <w:tc>
          <w:tcPr>
            <w:tcW w:w="686" w:type="dxa"/>
          </w:tcPr>
          <w:p w14:paraId="0DA754B7" w14:textId="50131378"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045</w:t>
            </w:r>
          </w:p>
        </w:tc>
        <w:tc>
          <w:tcPr>
            <w:tcW w:w="7954" w:type="dxa"/>
          </w:tcPr>
          <w:p w14:paraId="695E54B2" w14:textId="247E0DB4"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9EB7B16"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1BDD367F" w14:textId="69DDD73A" w:rsidTr="00400116">
        <w:tc>
          <w:tcPr>
            <w:tcW w:w="686" w:type="dxa"/>
          </w:tcPr>
          <w:p w14:paraId="590073FB" w14:textId="06DEBA1D"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046</w:t>
            </w:r>
          </w:p>
        </w:tc>
        <w:tc>
          <w:tcPr>
            <w:tcW w:w="7954" w:type="dxa"/>
          </w:tcPr>
          <w:p w14:paraId="63931017" w14:textId="346AF47D"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Les inégalités territoriales sont nombreuses et ont des implications concrètes sur la vie des établissements et les conditions d’apprentissage : inégalités de budgets entre les Régions, les départements par exemple.</w:t>
            </w:r>
          </w:p>
        </w:tc>
        <w:tc>
          <w:tcPr>
            <w:tcW w:w="6803" w:type="dxa"/>
          </w:tcPr>
          <w:p w14:paraId="7E96BCE9"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2A19C9C2" w14:textId="77DA259C" w:rsidTr="00400116">
        <w:tc>
          <w:tcPr>
            <w:tcW w:w="686" w:type="dxa"/>
          </w:tcPr>
          <w:p w14:paraId="7C76A78C" w14:textId="2996A402"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047</w:t>
            </w:r>
          </w:p>
        </w:tc>
        <w:tc>
          <w:tcPr>
            <w:tcW w:w="7954" w:type="dxa"/>
          </w:tcPr>
          <w:p w14:paraId="10806E72" w14:textId="2B228CA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06E1D254"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3BF7BC09" w14:textId="204E8F59" w:rsidTr="00400116">
        <w:tc>
          <w:tcPr>
            <w:tcW w:w="686" w:type="dxa"/>
          </w:tcPr>
          <w:p w14:paraId="6D5FAE0C" w14:textId="131EA06B"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048</w:t>
            </w:r>
          </w:p>
        </w:tc>
        <w:tc>
          <w:tcPr>
            <w:tcW w:w="7954" w:type="dxa"/>
          </w:tcPr>
          <w:p w14:paraId="3A5DCFC0" w14:textId="48AB80B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Quels leviers d’action contre ces inégalités ?</w:t>
            </w:r>
          </w:p>
        </w:tc>
        <w:tc>
          <w:tcPr>
            <w:tcW w:w="6803" w:type="dxa"/>
          </w:tcPr>
          <w:p w14:paraId="00DE10F8"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AC0DF58" w14:textId="623DA015" w:rsidTr="00400116">
        <w:tc>
          <w:tcPr>
            <w:tcW w:w="686" w:type="dxa"/>
          </w:tcPr>
          <w:p w14:paraId="7474C1AE" w14:textId="18FCEB7C"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049</w:t>
            </w:r>
          </w:p>
        </w:tc>
        <w:tc>
          <w:tcPr>
            <w:tcW w:w="7954" w:type="dxa"/>
          </w:tcPr>
          <w:p w14:paraId="29F58375" w14:textId="25D64672"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713322FD"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6A4C2E8" w14:textId="51D235A7" w:rsidTr="00400116">
        <w:tc>
          <w:tcPr>
            <w:tcW w:w="686" w:type="dxa"/>
          </w:tcPr>
          <w:p w14:paraId="66DBBDBB" w14:textId="39E2B9E1"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050</w:t>
            </w:r>
          </w:p>
        </w:tc>
        <w:tc>
          <w:tcPr>
            <w:tcW w:w="7954" w:type="dxa"/>
          </w:tcPr>
          <w:p w14:paraId="64450384" w14:textId="4CFB2D90"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08611752"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35679335" w14:textId="0FC85B7D" w:rsidTr="00400116">
        <w:tc>
          <w:tcPr>
            <w:tcW w:w="686" w:type="dxa"/>
          </w:tcPr>
          <w:p w14:paraId="0F32CBCC" w14:textId="4A01D1AB"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051</w:t>
            </w:r>
          </w:p>
        </w:tc>
        <w:tc>
          <w:tcPr>
            <w:tcW w:w="7954" w:type="dxa"/>
          </w:tcPr>
          <w:p w14:paraId="58B1BB34" w14:textId="014030AC" w:rsidR="00653359" w:rsidRPr="00A2672A" w:rsidRDefault="00653359" w:rsidP="00653359">
            <w:pPr>
              <w:pStyle w:val="Standard"/>
              <w:autoSpaceDE w:val="0"/>
              <w:rPr>
                <w:rFonts w:asciiTheme="minorHAnsi" w:eastAsia="Helvetica" w:hAnsiTheme="minorHAnsi" w:cstheme="minorHAnsi"/>
                <w:sz w:val="22"/>
                <w:szCs w:val="22"/>
              </w:rPr>
            </w:pPr>
            <w:r w:rsidRPr="00A2672A">
              <w:rPr>
                <w:rFonts w:asciiTheme="minorHAnsi" w:hAnsiTheme="minorHAnsi" w:cstheme="minorHAnsi"/>
                <w:sz w:val="22"/>
                <w:szCs w:val="22"/>
              </w:rPr>
              <w:t>4. Les professionnels doivent pouvoir définir et adapter une partie de leurs objectifs, méthodes, pratiques, modalités d’évaluation choisies, et avoir la liberté de s’exprimer sur ces sujets.</w:t>
            </w:r>
          </w:p>
        </w:tc>
        <w:tc>
          <w:tcPr>
            <w:tcW w:w="6803" w:type="dxa"/>
          </w:tcPr>
          <w:p w14:paraId="146A94D1"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672E5A7F" w14:textId="57DBD790" w:rsidTr="00400116">
        <w:tc>
          <w:tcPr>
            <w:tcW w:w="686" w:type="dxa"/>
          </w:tcPr>
          <w:p w14:paraId="49AEA21B" w14:textId="42D55A4C"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052</w:t>
            </w:r>
          </w:p>
        </w:tc>
        <w:tc>
          <w:tcPr>
            <w:tcW w:w="7954" w:type="dxa"/>
          </w:tcPr>
          <w:p w14:paraId="39D623F6" w14:textId="5B0FCFFE"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27E98DA6"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18DA6C3F" w14:textId="45EBE715" w:rsidTr="00400116">
        <w:tc>
          <w:tcPr>
            <w:tcW w:w="686" w:type="dxa"/>
          </w:tcPr>
          <w:p w14:paraId="15B0CF7E" w14:textId="0DF5F2E6" w:rsidR="00653359" w:rsidRPr="00400116" w:rsidRDefault="00653359" w:rsidP="00653359">
            <w:pPr>
              <w:pStyle w:val="Standard"/>
              <w:rPr>
                <w:rFonts w:asciiTheme="minorHAnsi" w:eastAsia="Helvetica" w:hAnsiTheme="minorHAnsi" w:cstheme="minorHAnsi"/>
                <w:sz w:val="22"/>
                <w:szCs w:val="22"/>
              </w:rPr>
            </w:pPr>
            <w:r w:rsidRPr="00400116">
              <w:rPr>
                <w:rFonts w:asciiTheme="minorHAnsi" w:eastAsia="Helvetica" w:hAnsiTheme="minorHAnsi" w:cstheme="minorHAnsi"/>
                <w:sz w:val="22"/>
                <w:szCs w:val="22"/>
              </w:rPr>
              <w:t>053</w:t>
            </w:r>
          </w:p>
        </w:tc>
        <w:tc>
          <w:tcPr>
            <w:tcW w:w="7954" w:type="dxa"/>
          </w:tcPr>
          <w:p w14:paraId="7852BAEF" w14:textId="640522E1" w:rsidR="00653359" w:rsidRPr="00A2672A" w:rsidRDefault="00653359" w:rsidP="00653359">
            <w:pPr>
              <w:pStyle w:val="Standard"/>
              <w:rPr>
                <w:rFonts w:asciiTheme="minorHAnsi" w:eastAsia="Helvetica" w:hAnsiTheme="minorHAnsi" w:cstheme="minorHAnsi"/>
                <w:b/>
                <w:bCs/>
                <w:sz w:val="22"/>
                <w:szCs w:val="22"/>
              </w:rPr>
            </w:pPr>
            <w:r w:rsidRPr="00A2672A">
              <w:rPr>
                <w:rFonts w:asciiTheme="minorHAnsi" w:hAnsiTheme="minorHAnsi" w:cstheme="minorHAnsi"/>
                <w:sz w:val="22"/>
                <w:szCs w:val="22"/>
              </w:rPr>
              <w:t>Pour cela, il faut qu’ils et elles disposent de :</w:t>
            </w:r>
          </w:p>
        </w:tc>
        <w:tc>
          <w:tcPr>
            <w:tcW w:w="6803" w:type="dxa"/>
          </w:tcPr>
          <w:p w14:paraId="060CD8F0" w14:textId="77777777" w:rsidR="00653359" w:rsidRPr="00915639" w:rsidRDefault="00653359" w:rsidP="00653359">
            <w:pPr>
              <w:pStyle w:val="Standard"/>
              <w:rPr>
                <w:rFonts w:asciiTheme="minorHAnsi" w:eastAsia="Helvetica" w:hAnsiTheme="minorHAnsi" w:cstheme="minorHAnsi"/>
                <w:sz w:val="22"/>
                <w:szCs w:val="22"/>
              </w:rPr>
            </w:pPr>
          </w:p>
        </w:tc>
      </w:tr>
      <w:tr w:rsidR="00653359" w:rsidRPr="00915639" w14:paraId="0AB71335" w14:textId="35EB2D87" w:rsidTr="00400116">
        <w:tc>
          <w:tcPr>
            <w:tcW w:w="686" w:type="dxa"/>
          </w:tcPr>
          <w:p w14:paraId="27617047" w14:textId="2F741A80"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054</w:t>
            </w:r>
          </w:p>
        </w:tc>
        <w:tc>
          <w:tcPr>
            <w:tcW w:w="7954" w:type="dxa"/>
          </w:tcPr>
          <w:p w14:paraId="54CAFF75" w14:textId="28CD8498"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1A3E72AE"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4043CBE" w14:textId="68C2407F" w:rsidTr="00400116">
        <w:tc>
          <w:tcPr>
            <w:tcW w:w="686" w:type="dxa"/>
          </w:tcPr>
          <w:p w14:paraId="5744B5DD" w14:textId="14297C24"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055</w:t>
            </w:r>
          </w:p>
        </w:tc>
        <w:tc>
          <w:tcPr>
            <w:tcW w:w="7954" w:type="dxa"/>
          </w:tcPr>
          <w:p w14:paraId="2C689AB8" w14:textId="1169A5F3"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 connaissances, pratiques, savoir-faire adossés à la recherche, ouverts et diversifiés, dès la formation initiale puis prolongés et actualisés par la formation continue pour leur permettre de faire des choix éclairés ;</w:t>
            </w:r>
          </w:p>
        </w:tc>
        <w:tc>
          <w:tcPr>
            <w:tcW w:w="6803" w:type="dxa"/>
          </w:tcPr>
          <w:p w14:paraId="7F312651"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421B6CE" w14:textId="1B97FDFE" w:rsidTr="00400116">
        <w:tc>
          <w:tcPr>
            <w:tcW w:w="686" w:type="dxa"/>
          </w:tcPr>
          <w:p w14:paraId="1827A6CA" w14:textId="168C2A2D"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056</w:t>
            </w:r>
          </w:p>
        </w:tc>
        <w:tc>
          <w:tcPr>
            <w:tcW w:w="7954" w:type="dxa"/>
          </w:tcPr>
          <w:p w14:paraId="719B0BD4" w14:textId="6F648F49"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30F7C9D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4C0EA6A" w14:textId="2D06613F" w:rsidTr="00400116">
        <w:tc>
          <w:tcPr>
            <w:tcW w:w="686" w:type="dxa"/>
          </w:tcPr>
          <w:p w14:paraId="73BED246" w14:textId="1A3AC390"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057</w:t>
            </w:r>
          </w:p>
        </w:tc>
        <w:tc>
          <w:tcPr>
            <w:tcW w:w="7954" w:type="dxa"/>
          </w:tcPr>
          <w:p w14:paraId="7C6EE129" w14:textId="62076582"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 l’accès aux résultats de la recherche et aux débats qui peuvent exister en son sein ;</w:t>
            </w:r>
          </w:p>
        </w:tc>
        <w:tc>
          <w:tcPr>
            <w:tcW w:w="6803" w:type="dxa"/>
          </w:tcPr>
          <w:p w14:paraId="68CD6D3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3667311C" w14:textId="2BE32A06" w:rsidTr="00400116">
        <w:tc>
          <w:tcPr>
            <w:tcW w:w="686" w:type="dxa"/>
          </w:tcPr>
          <w:p w14:paraId="5AA616CF" w14:textId="5B6D1C2A"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058</w:t>
            </w:r>
          </w:p>
        </w:tc>
        <w:tc>
          <w:tcPr>
            <w:tcW w:w="7954" w:type="dxa"/>
          </w:tcPr>
          <w:p w14:paraId="37EDBC8D" w14:textId="7FD9DC13"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4D0029E"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ABAF678" w14:textId="7B014A73" w:rsidTr="00400116">
        <w:tc>
          <w:tcPr>
            <w:tcW w:w="686" w:type="dxa"/>
          </w:tcPr>
          <w:p w14:paraId="35D3EB3B" w14:textId="03DE6196"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059</w:t>
            </w:r>
          </w:p>
        </w:tc>
        <w:tc>
          <w:tcPr>
            <w:tcW w:w="7954" w:type="dxa"/>
          </w:tcPr>
          <w:p w14:paraId="2FD3C861" w14:textId="30F13C84"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 la possibilité de partager les pratiques professionnelles, sur le temps de service et dans le cadre de la formation continue, afin de constituer une expérience professionnelle collective dans laquelle chacun est libre de puiser.</w:t>
            </w:r>
          </w:p>
        </w:tc>
        <w:tc>
          <w:tcPr>
            <w:tcW w:w="6803" w:type="dxa"/>
          </w:tcPr>
          <w:p w14:paraId="7B9222EC"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C2643A4" w14:textId="3052AF65" w:rsidTr="00400116">
        <w:tc>
          <w:tcPr>
            <w:tcW w:w="686" w:type="dxa"/>
          </w:tcPr>
          <w:p w14:paraId="367A669A" w14:textId="0552614E"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060</w:t>
            </w:r>
          </w:p>
        </w:tc>
        <w:tc>
          <w:tcPr>
            <w:tcW w:w="7954" w:type="dxa"/>
          </w:tcPr>
          <w:p w14:paraId="218E5381" w14:textId="63DCCF2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6F1F92AD"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32360BA1" w14:textId="294AE0A6" w:rsidTr="00400116">
        <w:tc>
          <w:tcPr>
            <w:tcW w:w="686" w:type="dxa"/>
          </w:tcPr>
          <w:p w14:paraId="0B101136" w14:textId="446BAE73"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061</w:t>
            </w:r>
          </w:p>
        </w:tc>
        <w:tc>
          <w:tcPr>
            <w:tcW w:w="7954" w:type="dxa"/>
          </w:tcPr>
          <w:p w14:paraId="12FDEB3C" w14:textId="3DD6C85B"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Le travail en équipe est important particulièrement pour la prise en charge des élèves à la scolarité fragile.</w:t>
            </w:r>
          </w:p>
        </w:tc>
        <w:tc>
          <w:tcPr>
            <w:tcW w:w="6803" w:type="dxa"/>
          </w:tcPr>
          <w:p w14:paraId="38990610"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79775C9C" w14:textId="618A71C5" w:rsidTr="00400116">
        <w:tc>
          <w:tcPr>
            <w:tcW w:w="686" w:type="dxa"/>
          </w:tcPr>
          <w:p w14:paraId="42AB453C" w14:textId="721045B2"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062</w:t>
            </w:r>
          </w:p>
        </w:tc>
        <w:tc>
          <w:tcPr>
            <w:tcW w:w="7954" w:type="dxa"/>
          </w:tcPr>
          <w:p w14:paraId="5E68E71E" w14:textId="29039D3A"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173B8A3B"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7FCF991D" w14:textId="6232AFFB" w:rsidTr="00400116">
        <w:tc>
          <w:tcPr>
            <w:tcW w:w="686" w:type="dxa"/>
          </w:tcPr>
          <w:p w14:paraId="776E069C" w14:textId="754EA849"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063</w:t>
            </w:r>
          </w:p>
        </w:tc>
        <w:tc>
          <w:tcPr>
            <w:tcW w:w="7954" w:type="dxa"/>
          </w:tcPr>
          <w:p w14:paraId="7328D065" w14:textId="58ADCEBF"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La pondération en REP+, dont l’usage doit rester à la main des équipes, est-elle le modèle à généraliser ?</w:t>
            </w:r>
          </w:p>
        </w:tc>
        <w:tc>
          <w:tcPr>
            <w:tcW w:w="6803" w:type="dxa"/>
          </w:tcPr>
          <w:p w14:paraId="4D961303"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A3AA93B" w14:textId="11644A56" w:rsidTr="00400116">
        <w:tc>
          <w:tcPr>
            <w:tcW w:w="686" w:type="dxa"/>
          </w:tcPr>
          <w:p w14:paraId="541A7FB7" w14:textId="659AE4A4"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lastRenderedPageBreak/>
              <w:t>064</w:t>
            </w:r>
          </w:p>
        </w:tc>
        <w:tc>
          <w:tcPr>
            <w:tcW w:w="7954" w:type="dxa"/>
          </w:tcPr>
          <w:p w14:paraId="5A31F96D" w14:textId="0AB38B4C"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4F847C77"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5A70D1D0" w14:textId="28A7B60D" w:rsidTr="00400116">
        <w:tc>
          <w:tcPr>
            <w:tcW w:w="686" w:type="dxa"/>
          </w:tcPr>
          <w:p w14:paraId="4D4D5959" w14:textId="0242459E"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065</w:t>
            </w:r>
          </w:p>
        </w:tc>
        <w:tc>
          <w:tcPr>
            <w:tcW w:w="7954" w:type="dxa"/>
          </w:tcPr>
          <w:p w14:paraId="477B2615" w14:textId="3FE9741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A2672A">
              <w:rPr>
                <w:rFonts w:asciiTheme="minorHAnsi" w:hAnsiTheme="minorHAnsi" w:cstheme="minorHAnsi"/>
                <w:sz w:val="22"/>
                <w:szCs w:val="22"/>
              </w:rPr>
              <w:t>Les échanges sur les pratiques professionnelles peuvent contribuer à la lutte contre les inégalités ;</w:t>
            </w:r>
          </w:p>
        </w:tc>
        <w:tc>
          <w:tcPr>
            <w:tcW w:w="6803" w:type="dxa"/>
          </w:tcPr>
          <w:p w14:paraId="44FFDBE0"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409375C0" w14:textId="26A30156" w:rsidTr="00400116">
        <w:tc>
          <w:tcPr>
            <w:tcW w:w="686" w:type="dxa"/>
          </w:tcPr>
          <w:p w14:paraId="0A9C955C" w14:textId="4375704D"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066</w:t>
            </w:r>
          </w:p>
        </w:tc>
        <w:tc>
          <w:tcPr>
            <w:tcW w:w="7954" w:type="dxa"/>
          </w:tcPr>
          <w:p w14:paraId="352DFEC4" w14:textId="24F39231"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5676F55E"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04882113" w14:textId="2CAFE8AC" w:rsidTr="00400116">
        <w:tc>
          <w:tcPr>
            <w:tcW w:w="686" w:type="dxa"/>
          </w:tcPr>
          <w:p w14:paraId="79C40DC5" w14:textId="0B6212C5" w:rsidR="00653359" w:rsidRPr="00400116"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067</w:t>
            </w:r>
          </w:p>
        </w:tc>
        <w:tc>
          <w:tcPr>
            <w:tcW w:w="7954" w:type="dxa"/>
          </w:tcPr>
          <w:p w14:paraId="39D205D3" w14:textId="4F385FB0" w:rsidR="00653359" w:rsidRPr="00A2672A" w:rsidRDefault="00653359" w:rsidP="00653359">
            <w:pPr>
              <w:pStyle w:val="Standard"/>
              <w:rPr>
                <w:rFonts w:asciiTheme="minorHAnsi" w:hAnsiTheme="minorHAnsi" w:cstheme="minorHAnsi"/>
                <w:sz w:val="22"/>
                <w:szCs w:val="22"/>
              </w:rPr>
            </w:pPr>
            <w:r w:rsidRPr="00A2672A">
              <w:rPr>
                <w:rFonts w:asciiTheme="minorHAnsi" w:hAnsiTheme="minorHAnsi" w:cstheme="minorHAnsi"/>
                <w:sz w:val="22"/>
                <w:szCs w:val="22"/>
              </w:rPr>
              <w:t>Quel rôle peut jouer la formation continue pour cela ?</w:t>
            </w:r>
          </w:p>
          <w:p w14:paraId="74192AB4" w14:textId="4EEF5365" w:rsidR="00653359" w:rsidRPr="00A2672A"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c>
          <w:tcPr>
            <w:tcW w:w="6803" w:type="dxa"/>
          </w:tcPr>
          <w:p w14:paraId="737DD9EF" w14:textId="77777777" w:rsidR="00653359" w:rsidRPr="00915639" w:rsidRDefault="00653359" w:rsidP="00653359">
            <w:pPr>
              <w:pStyle w:val="Standard"/>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rPr>
                <w:rFonts w:asciiTheme="minorHAnsi" w:eastAsia="Helvetica" w:hAnsiTheme="minorHAnsi" w:cstheme="minorHAnsi"/>
                <w:sz w:val="22"/>
                <w:szCs w:val="22"/>
              </w:rPr>
            </w:pPr>
          </w:p>
        </w:tc>
      </w:tr>
      <w:tr w:rsidR="00653359" w:rsidRPr="00915639" w14:paraId="69D701CB" w14:textId="3E1EA2A8" w:rsidTr="00400116">
        <w:tc>
          <w:tcPr>
            <w:tcW w:w="686" w:type="dxa"/>
          </w:tcPr>
          <w:p w14:paraId="542145E7" w14:textId="4C76BD0C"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068</w:t>
            </w:r>
          </w:p>
        </w:tc>
        <w:tc>
          <w:tcPr>
            <w:tcW w:w="7954" w:type="dxa"/>
          </w:tcPr>
          <w:p w14:paraId="756975BE" w14:textId="2F3C2264"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3852D22F"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7B699D5E" w14:textId="5C563608" w:rsidTr="00400116">
        <w:tc>
          <w:tcPr>
            <w:tcW w:w="686" w:type="dxa"/>
          </w:tcPr>
          <w:p w14:paraId="21363FBC" w14:textId="023F5905"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069</w:t>
            </w:r>
          </w:p>
        </w:tc>
        <w:tc>
          <w:tcPr>
            <w:tcW w:w="7954" w:type="dxa"/>
          </w:tcPr>
          <w:p w14:paraId="786CA7AD" w14:textId="667D8CEC"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7263AC64" w14:textId="77777777" w:rsidR="00653359" w:rsidRPr="00915639" w:rsidRDefault="00653359" w:rsidP="00653359">
            <w:pPr>
              <w:pStyle w:val="Standard"/>
              <w:autoSpaceDE w:val="0"/>
              <w:rPr>
                <w:rFonts w:asciiTheme="minorHAnsi" w:eastAsia="Helvetica" w:hAnsiTheme="minorHAnsi" w:cstheme="minorHAnsi"/>
                <w:sz w:val="22"/>
                <w:szCs w:val="22"/>
              </w:rPr>
            </w:pPr>
          </w:p>
        </w:tc>
      </w:tr>
      <w:tr w:rsidR="00653359" w:rsidRPr="00915639" w14:paraId="793EA622" w14:textId="74D97036" w:rsidTr="00400116">
        <w:tc>
          <w:tcPr>
            <w:tcW w:w="686" w:type="dxa"/>
          </w:tcPr>
          <w:p w14:paraId="2F1A8ADB" w14:textId="5346B842" w:rsidR="00653359" w:rsidRPr="00400116" w:rsidRDefault="00653359" w:rsidP="00653359">
            <w:pPr>
              <w:pStyle w:val="Standard"/>
              <w:autoSpaceDE w:val="0"/>
              <w:rPr>
                <w:rFonts w:asciiTheme="minorHAnsi" w:eastAsia="Helvetica" w:hAnsiTheme="minorHAnsi" w:cstheme="minorHAnsi"/>
                <w:sz w:val="22"/>
                <w:szCs w:val="22"/>
              </w:rPr>
            </w:pPr>
            <w:r w:rsidRPr="00400116">
              <w:rPr>
                <w:rFonts w:asciiTheme="minorHAnsi" w:eastAsia="Helvetica" w:hAnsiTheme="minorHAnsi" w:cstheme="minorHAnsi"/>
                <w:sz w:val="22"/>
                <w:szCs w:val="22"/>
              </w:rPr>
              <w:t>070</w:t>
            </w:r>
          </w:p>
        </w:tc>
        <w:tc>
          <w:tcPr>
            <w:tcW w:w="7954" w:type="dxa"/>
          </w:tcPr>
          <w:p w14:paraId="1DC7135D" w14:textId="4565CA89" w:rsidR="00653359" w:rsidRPr="00A2672A" w:rsidRDefault="00653359" w:rsidP="00653359">
            <w:pPr>
              <w:pStyle w:val="Standard"/>
              <w:autoSpaceDE w:val="0"/>
              <w:rPr>
                <w:rFonts w:asciiTheme="minorHAnsi" w:eastAsia="Helvetica" w:hAnsiTheme="minorHAnsi" w:cstheme="minorHAnsi"/>
                <w:sz w:val="22"/>
                <w:szCs w:val="22"/>
              </w:rPr>
            </w:pPr>
          </w:p>
        </w:tc>
        <w:tc>
          <w:tcPr>
            <w:tcW w:w="6803" w:type="dxa"/>
          </w:tcPr>
          <w:p w14:paraId="54B2B96F" w14:textId="77777777" w:rsidR="00653359" w:rsidRPr="00915639" w:rsidRDefault="00653359" w:rsidP="00653359">
            <w:pPr>
              <w:pStyle w:val="Standard"/>
              <w:autoSpaceDE w:val="0"/>
              <w:rPr>
                <w:rFonts w:asciiTheme="minorHAnsi" w:eastAsia="Helvetica" w:hAnsiTheme="minorHAnsi" w:cstheme="minorHAnsi"/>
                <w:sz w:val="22"/>
                <w:szCs w:val="22"/>
              </w:rPr>
            </w:pPr>
          </w:p>
        </w:tc>
      </w:tr>
    </w:tbl>
    <w:p w14:paraId="174593C2" w14:textId="09B38BC8" w:rsidR="00AE7280" w:rsidRDefault="00AE7280" w:rsidP="00AE7280">
      <w:pPr>
        <w:pStyle w:val="Standard"/>
        <w:autoSpaceDE w:val="0"/>
        <w:rPr>
          <w:rFonts w:asciiTheme="minorHAnsi" w:eastAsia="Helvetica" w:hAnsiTheme="minorHAnsi" w:cstheme="minorHAnsi"/>
        </w:rPr>
      </w:pPr>
    </w:p>
    <w:p w14:paraId="4806346D" w14:textId="31160FFB" w:rsidR="00AE7280" w:rsidRDefault="00AE7280" w:rsidP="00AE7280">
      <w:pPr>
        <w:pStyle w:val="Standard"/>
        <w:autoSpaceDE w:val="0"/>
        <w:rPr>
          <w:rFonts w:asciiTheme="minorHAnsi" w:eastAsia="Helvetica" w:hAnsiTheme="minorHAnsi" w:cstheme="minorHAnsi"/>
        </w:rPr>
      </w:pPr>
    </w:p>
    <w:sectPr w:rsidR="00AE7280" w:rsidSect="00391F09">
      <w:pgSz w:w="16838" w:h="11906" w:orient="landscape"/>
      <w:pgMar w:top="567"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AD0DD" w14:textId="77777777" w:rsidR="00FB04B0" w:rsidRDefault="00FB04B0">
      <w:r>
        <w:separator/>
      </w:r>
    </w:p>
  </w:endnote>
  <w:endnote w:type="continuationSeparator" w:id="0">
    <w:p w14:paraId="1DF67B6A" w14:textId="77777777" w:rsidR="00FB04B0" w:rsidRDefault="00FB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Sans">
    <w:altName w:val="Calibri"/>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34B43" w14:textId="77777777" w:rsidR="00FB04B0" w:rsidRDefault="00FB04B0">
      <w:r>
        <w:rPr>
          <w:color w:val="000000"/>
        </w:rPr>
        <w:separator/>
      </w:r>
    </w:p>
  </w:footnote>
  <w:footnote w:type="continuationSeparator" w:id="0">
    <w:p w14:paraId="110C8732" w14:textId="77777777" w:rsidR="00FB04B0" w:rsidRDefault="00FB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6444"/>
    <w:multiLevelType w:val="hybridMultilevel"/>
    <w:tmpl w:val="7E7021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5C7EA1"/>
    <w:multiLevelType w:val="hybridMultilevel"/>
    <w:tmpl w:val="65B07478"/>
    <w:lvl w:ilvl="0" w:tplc="CD36483A">
      <w:start w:val="10"/>
      <w:numFmt w:val="decimal"/>
      <w:lvlText w:val="0%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9674496"/>
    <w:multiLevelType w:val="hybridMultilevel"/>
    <w:tmpl w:val="F850C3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65F"/>
    <w:rsid w:val="000133A0"/>
    <w:rsid w:val="00042442"/>
    <w:rsid w:val="0008291D"/>
    <w:rsid w:val="001273A6"/>
    <w:rsid w:val="00197377"/>
    <w:rsid w:val="001A241D"/>
    <w:rsid w:val="001A6C37"/>
    <w:rsid w:val="001F0371"/>
    <w:rsid w:val="00391F09"/>
    <w:rsid w:val="00400116"/>
    <w:rsid w:val="00653359"/>
    <w:rsid w:val="0067254A"/>
    <w:rsid w:val="006C29B0"/>
    <w:rsid w:val="00714D7F"/>
    <w:rsid w:val="00820144"/>
    <w:rsid w:val="00853F62"/>
    <w:rsid w:val="00915639"/>
    <w:rsid w:val="00942202"/>
    <w:rsid w:val="00953F26"/>
    <w:rsid w:val="0096465F"/>
    <w:rsid w:val="00A2672A"/>
    <w:rsid w:val="00AE7280"/>
    <w:rsid w:val="00C82036"/>
    <w:rsid w:val="00E52CF2"/>
    <w:rsid w:val="00F34710"/>
    <w:rsid w:val="00FB04B0"/>
    <w:rsid w:val="00FF75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table" w:styleId="Grilledutableau">
    <w:name w:val="Table Grid"/>
    <w:basedOn w:val="TableauNormal"/>
    <w:uiPriority w:val="39"/>
    <w:rsid w:val="00AE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2CF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Lienhypertexte">
    <w:name w:val="Hyperlink"/>
    <w:basedOn w:val="Policepardfaut"/>
    <w:uiPriority w:val="99"/>
    <w:unhideWhenUsed/>
    <w:rsid w:val="00391F09"/>
    <w:rPr>
      <w:color w:val="0563C1" w:themeColor="hyperlink"/>
      <w:u w:val="single"/>
    </w:rPr>
  </w:style>
  <w:style w:type="character" w:customStyle="1" w:styleId="UnresolvedMention">
    <w:name w:val="Unresolved Mention"/>
    <w:basedOn w:val="Policepardfaut"/>
    <w:uiPriority w:val="99"/>
    <w:semiHidden/>
    <w:unhideWhenUsed/>
    <w:rsid w:val="00391F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Lucida Sans"/>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NumberingSymbols">
    <w:name w:val="Numbering Symbols"/>
  </w:style>
  <w:style w:type="table" w:styleId="Grilledutableau">
    <w:name w:val="Table Grid"/>
    <w:basedOn w:val="TableauNormal"/>
    <w:uiPriority w:val="39"/>
    <w:rsid w:val="00AE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2CF2"/>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Lienhypertexte">
    <w:name w:val="Hyperlink"/>
    <w:basedOn w:val="Policepardfaut"/>
    <w:uiPriority w:val="99"/>
    <w:unhideWhenUsed/>
    <w:rsid w:val="00391F09"/>
    <w:rPr>
      <w:color w:val="0563C1" w:themeColor="hyperlink"/>
      <w:u w:val="single"/>
    </w:rPr>
  </w:style>
  <w:style w:type="character" w:customStyle="1" w:styleId="UnresolvedMention">
    <w:name w:val="Unresolved Mention"/>
    <w:basedOn w:val="Policepardfaut"/>
    <w:uiPriority w:val="99"/>
    <w:semiHidden/>
    <w:unhideWhenUsed/>
    <w:rsid w:val="00391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heme_education@snes.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812</Words>
  <Characters>4467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CEDRIC.GERLAND@lyc-stex.eu</dc:creator>
  <cp:lastModifiedBy>SEC1</cp:lastModifiedBy>
  <cp:revision>2</cp:revision>
  <dcterms:created xsi:type="dcterms:W3CDTF">2021-04-01T10:25:00Z</dcterms:created>
  <dcterms:modified xsi:type="dcterms:W3CDTF">2021-04-01T10:25:00Z</dcterms:modified>
</cp:coreProperties>
</file>